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072" w:rsidRPr="001F2072" w:rsidRDefault="001F2072" w:rsidP="001F2072">
      <w:pPr>
        <w:shd w:val="clear" w:color="auto" w:fill="FFFFFF"/>
        <w:spacing w:before="150" w:after="150" w:line="600" w:lineRule="atLeast"/>
        <w:outlineLvl w:val="1"/>
        <w:rPr>
          <w:rFonts w:ascii="inherit" w:eastAsia="Times New Roman" w:hAnsi="inherit" w:cs="Helvetica"/>
          <w:color w:val="333333"/>
          <w:sz w:val="36"/>
          <w:szCs w:val="36"/>
          <w:lang w:val="en"/>
        </w:rPr>
      </w:pPr>
      <w:r w:rsidRPr="001F2072">
        <w:rPr>
          <w:rFonts w:ascii="inherit" w:eastAsia="Times New Roman" w:hAnsi="inherit" w:cs="Helvetica"/>
          <w:color w:val="333333"/>
          <w:sz w:val="36"/>
          <w:szCs w:val="36"/>
          <w:lang w:val="en"/>
        </w:rPr>
        <w:t>Course Syllabus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COURSE SCHEDULE: The schedule of readings and assignments (provided below) may change to accommodate class needs or the weather. I will try to give advanced notice in class or through e-mail in the event of any needed changes, and I will revise the syllabus as soon as possible.</w:t>
      </w:r>
      <w:r w:rsidRPr="001F2072">
        <w:rPr>
          <w:rFonts w:ascii="Helvetica" w:eastAsia="Times New Roman" w:hAnsi="Helvetica" w:cs="Helvetica"/>
          <w:color w:val="333333"/>
          <w:sz w:val="20"/>
          <w:szCs w:val="20"/>
          <w:lang w:val="en"/>
        </w:rPr>
        <w:br/>
        <w:t>-------------------------------------------</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36"/>
          <w:szCs w:val="36"/>
          <w:lang w:val="en"/>
        </w:rPr>
        <w:t>LIT499_02</w:t>
      </w:r>
      <w:r w:rsidRPr="001F2072">
        <w:rPr>
          <w:rFonts w:ascii="Helvetica" w:eastAsia="Times New Roman" w:hAnsi="Helvetica" w:cs="Helvetica"/>
          <w:color w:val="333333"/>
          <w:sz w:val="20"/>
          <w:szCs w:val="20"/>
          <w:lang w:val="en"/>
        </w:rPr>
        <w:br/>
      </w:r>
      <w:r w:rsidRPr="001F2072">
        <w:rPr>
          <w:rFonts w:ascii="Helvetica" w:eastAsia="Times New Roman" w:hAnsi="Helvetica" w:cs="Helvetica"/>
          <w:color w:val="333333"/>
          <w:sz w:val="36"/>
          <w:szCs w:val="36"/>
          <w:lang w:val="en"/>
        </w:rPr>
        <w:t>Senior Seminar in Transgender Studies</w:t>
      </w:r>
      <w:r w:rsidRPr="001F2072">
        <w:rPr>
          <w:rFonts w:ascii="Helvetica" w:eastAsia="Times New Roman" w:hAnsi="Helvetica" w:cs="Helvetica"/>
          <w:color w:val="333333"/>
          <w:sz w:val="20"/>
          <w:szCs w:val="20"/>
          <w:lang w:val="en"/>
        </w:rPr>
        <w:br/>
      </w:r>
      <w:r w:rsidRPr="001F2072">
        <w:rPr>
          <w:rFonts w:ascii="Helvetica" w:eastAsia="Times New Roman" w:hAnsi="Helvetica" w:cs="Helvetica"/>
          <w:color w:val="333333"/>
          <w:sz w:val="36"/>
          <w:szCs w:val="36"/>
          <w:lang w:val="en"/>
        </w:rPr>
        <w:t xml:space="preserve">W 09:00 </w:t>
      </w:r>
      <w:proofErr w:type="gramStart"/>
      <w:r w:rsidRPr="001F2072">
        <w:rPr>
          <w:rFonts w:ascii="Helvetica" w:eastAsia="Times New Roman" w:hAnsi="Helvetica" w:cs="Helvetica"/>
          <w:color w:val="333333"/>
          <w:sz w:val="36"/>
          <w:szCs w:val="36"/>
          <w:lang w:val="en"/>
        </w:rPr>
        <w:t>AM</w:t>
      </w:r>
      <w:proofErr w:type="gramEnd"/>
      <w:r w:rsidRPr="001F2072">
        <w:rPr>
          <w:rFonts w:ascii="Helvetica" w:eastAsia="Times New Roman" w:hAnsi="Helvetica" w:cs="Helvetica"/>
          <w:color w:val="333333"/>
          <w:sz w:val="36"/>
          <w:szCs w:val="36"/>
          <w:lang w:val="en"/>
        </w:rPr>
        <w:t xml:space="preserve"> - 11:50 AM in BLIS 235</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Professor: </w:t>
      </w:r>
      <w:proofErr w:type="spellStart"/>
      <w:r w:rsidRPr="001F2072">
        <w:rPr>
          <w:rFonts w:ascii="Helvetica" w:eastAsia="Times New Roman" w:hAnsi="Helvetica" w:cs="Helvetica"/>
          <w:color w:val="333333"/>
          <w:sz w:val="20"/>
          <w:szCs w:val="20"/>
          <w:lang w:val="en"/>
        </w:rPr>
        <w:t>Juda</w:t>
      </w:r>
      <w:proofErr w:type="spellEnd"/>
      <w:r w:rsidRPr="001F2072">
        <w:rPr>
          <w:rFonts w:ascii="Helvetica" w:eastAsia="Times New Roman" w:hAnsi="Helvetica" w:cs="Helvetica"/>
          <w:color w:val="333333"/>
          <w:sz w:val="20"/>
          <w:szCs w:val="20"/>
          <w:lang w:val="en"/>
        </w:rPr>
        <w:t xml:space="preserve"> Charles Bennett</w:t>
      </w:r>
      <w:r w:rsidRPr="001F2072">
        <w:rPr>
          <w:rFonts w:ascii="Helvetica" w:eastAsia="Times New Roman" w:hAnsi="Helvetica" w:cs="Helvetica"/>
          <w:color w:val="333333"/>
          <w:sz w:val="20"/>
          <w:szCs w:val="20"/>
          <w:lang w:val="en"/>
        </w:rPr>
        <w:br/>
        <w:t>Office Address: Bliss 239</w:t>
      </w:r>
      <w:r w:rsidRPr="001F2072">
        <w:rPr>
          <w:rFonts w:ascii="Helvetica" w:eastAsia="Times New Roman" w:hAnsi="Helvetica" w:cs="Helvetica"/>
          <w:color w:val="333333"/>
          <w:sz w:val="20"/>
          <w:szCs w:val="20"/>
          <w:lang w:val="en"/>
        </w:rPr>
        <w:br/>
        <w:t>Office Number: 609-771-2380</w:t>
      </w:r>
      <w:r w:rsidRPr="001F2072">
        <w:rPr>
          <w:rFonts w:ascii="Helvetica" w:eastAsia="Times New Roman" w:hAnsi="Helvetica" w:cs="Helvetica"/>
          <w:color w:val="333333"/>
          <w:sz w:val="20"/>
          <w:szCs w:val="20"/>
          <w:lang w:val="en"/>
        </w:rPr>
        <w:br/>
        <w:t>Email Address: bennett@tcnj.edu</w:t>
      </w:r>
      <w:r w:rsidRPr="001F2072">
        <w:rPr>
          <w:rFonts w:ascii="Helvetica" w:eastAsia="Times New Roman" w:hAnsi="Helvetica" w:cs="Helvetica"/>
          <w:color w:val="333333"/>
          <w:sz w:val="20"/>
          <w:szCs w:val="20"/>
          <w:lang w:val="en"/>
        </w:rPr>
        <w:br/>
        <w:t>Office Hours: Monday and Thursday 11:20-12:20; Wednesday 2:00-3:00</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COURSE DESCRIPTION</w:t>
      </w:r>
      <w:r w:rsidRPr="001F2072">
        <w:rPr>
          <w:rFonts w:ascii="MS Gothic" w:eastAsia="MS Gothic" w:hAnsi="MS Gothic" w:cs="MS Gothic" w:hint="eastAsia"/>
          <w:b/>
          <w:bCs/>
          <w:color w:val="333333"/>
          <w:sz w:val="20"/>
          <w:szCs w:val="20"/>
          <w:lang w:val="en"/>
        </w:rPr>
        <w:t> </w:t>
      </w:r>
      <w:r w:rsidRPr="001F2072">
        <w:rPr>
          <w:rFonts w:ascii="Helvetica" w:eastAsia="Times New Roman" w:hAnsi="Helvetica" w:cs="Helvetica"/>
          <w:b/>
          <w:bCs/>
          <w:color w:val="333333"/>
          <w:sz w:val="20"/>
          <w:szCs w:val="20"/>
          <w:lang w:val="en"/>
        </w:rPr>
        <w:br/>
      </w:r>
      <w:r w:rsidRPr="001F2072">
        <w:rPr>
          <w:rFonts w:ascii="Helvetica" w:eastAsia="Times New Roman" w:hAnsi="Helvetica" w:cs="Helvetica"/>
          <w:b/>
          <w:bCs/>
          <w:color w:val="333333"/>
          <w:sz w:val="20"/>
          <w:szCs w:val="20"/>
          <w:lang w:val="en"/>
        </w:rPr>
        <w:br/>
      </w:r>
      <w:r w:rsidRPr="001F2072">
        <w:rPr>
          <w:rFonts w:ascii="Helvetica" w:eastAsia="Times New Roman" w:hAnsi="Helvetica" w:cs="Helvetica"/>
          <w:color w:val="333333"/>
          <w:sz w:val="20"/>
          <w:szCs w:val="20"/>
          <w:lang w:val="en"/>
        </w:rPr>
        <w:t xml:space="preserve">Why take a course devoted to transgender studies? Susan Stryker argues that “the field of transgender studies, far from being an inconsequentially narrow specialization dealing </w:t>
      </w:r>
      <w:r w:rsidRPr="001F2072">
        <w:rPr>
          <w:rFonts w:ascii="Helvetica" w:eastAsia="Times New Roman" w:hAnsi="Helvetica" w:cs="Helvetica"/>
          <w:i/>
          <w:iCs/>
          <w:color w:val="333333"/>
          <w:sz w:val="20"/>
          <w:szCs w:val="20"/>
          <w:lang w:val="en"/>
        </w:rPr>
        <w:t xml:space="preserve">only </w:t>
      </w:r>
      <w:r w:rsidRPr="001F2072">
        <w:rPr>
          <w:rFonts w:ascii="Helvetica" w:eastAsia="Times New Roman" w:hAnsi="Helvetica" w:cs="Helvetica"/>
          <w:color w:val="333333"/>
          <w:sz w:val="20"/>
          <w:szCs w:val="20"/>
          <w:lang w:val="en"/>
        </w:rPr>
        <w:t xml:space="preserve">with a rarified population of transgender individuals, or with an eclectic collection of esoteric transgender practices, represents a significant and ongoing critical engagement with some of the most trenchant issues in contemporary humanities, social sciences, and biomedical research.” We only need to turn on the television, open a magazine, or surf the internet to know that the term, the concept, and the transgender person and community have exploded onto the national consciousness. This course serves to explore this field of study and its importance to literary and cultural studies and our lives.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Learning Goals:</w:t>
      </w:r>
    </w:p>
    <w:p w:rsidR="001F2072" w:rsidRPr="001F2072" w:rsidRDefault="001F2072" w:rsidP="001F207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To understand the emerging field of transgender studies, gaining an understanding of its breadth and depth</w:t>
      </w:r>
    </w:p>
    <w:p w:rsidR="001F2072" w:rsidRPr="001F2072" w:rsidRDefault="001F2072" w:rsidP="001F207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To see the relationship of transgender studies to literary studies as well as other disciplines, such as history, philosophy, and psychology</w:t>
      </w:r>
    </w:p>
    <w:p w:rsidR="001F2072" w:rsidRPr="001F2072" w:rsidRDefault="001F2072" w:rsidP="001F207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To focus an area of inquiry and develop a working thesis early in the semester in order to further explore, hone, and develop a viable thesis that will result in a paper 15-25 pages</w:t>
      </w:r>
    </w:p>
    <w:p w:rsidR="001F2072" w:rsidRPr="001F2072" w:rsidRDefault="001F2072" w:rsidP="001F207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To understand the importance of process—such as pre-writing, brainstorming, collaboration, feedback, and seed papers—in the development of a longer project</w:t>
      </w:r>
    </w:p>
    <w:p w:rsidR="001F2072" w:rsidRPr="001F2072" w:rsidRDefault="001F2072" w:rsidP="001F207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To read theory and learn how to apply it to a project in order to develop a strong thesis, demonstrate a knowledge of the field of study, and develop and support an argument</w:t>
      </w:r>
    </w:p>
    <w:p w:rsidR="001F2072" w:rsidRPr="001F2072" w:rsidRDefault="001F2072" w:rsidP="001F2072">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To learn how to conduct independent research in order to demonstrate proficiency in the field of study and in order to present to your readers a context for your original analysis/argument</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lastRenderedPageBreak/>
        <w:t xml:space="preserve">(This course is founded upon the learning goals established by the English Department and the School of Humanities and Social Sciences.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You can find further information about those goals at the following two links</w:t>
      </w:r>
      <w:proofErr w:type="gramStart"/>
      <w:r w:rsidRPr="001F2072">
        <w:rPr>
          <w:rFonts w:ascii="Helvetica" w:eastAsia="Times New Roman" w:hAnsi="Helvetica" w:cs="Helvetica"/>
          <w:color w:val="333333"/>
          <w:sz w:val="20"/>
          <w:szCs w:val="20"/>
          <w:lang w:val="en"/>
        </w:rPr>
        <w:t>:</w:t>
      </w:r>
      <w:proofErr w:type="gramEnd"/>
      <w:r w:rsidRPr="001F2072">
        <w:rPr>
          <w:rFonts w:ascii="Helvetica" w:eastAsia="Times New Roman" w:hAnsi="Helvetica" w:cs="Helvetica"/>
          <w:color w:val="333333"/>
          <w:sz w:val="20"/>
          <w:szCs w:val="20"/>
          <w:lang w:val="en"/>
        </w:rPr>
        <w:br/>
      </w:r>
      <w:hyperlink r:id="rId6" w:tgtFrame="_blank" w:history="1">
        <w:r w:rsidRPr="001F2072">
          <w:rPr>
            <w:rFonts w:ascii="Helvetica" w:eastAsia="Times New Roman" w:hAnsi="Helvetica" w:cs="Helvetica"/>
            <w:color w:val="0088CC"/>
            <w:sz w:val="20"/>
            <w:szCs w:val="20"/>
            <w:lang w:val="en"/>
          </w:rPr>
          <w:t>http://english.pages.tcnj.edu/english-programs/english-major/english-major-goals/</w:t>
        </w:r>
      </w:hyperlink>
    </w:p>
    <w:p w:rsidR="001F2072" w:rsidRPr="001F2072" w:rsidRDefault="001F2072" w:rsidP="001F2072">
      <w:pPr>
        <w:shd w:val="clear" w:color="auto" w:fill="FFFFFF"/>
        <w:spacing w:after="240" w:line="300" w:lineRule="atLeast"/>
        <w:rPr>
          <w:rFonts w:ascii="Helvetica" w:eastAsia="Times New Roman" w:hAnsi="Helvetica" w:cs="Helvetica"/>
          <w:color w:val="333333"/>
          <w:sz w:val="20"/>
          <w:szCs w:val="20"/>
          <w:lang w:val="en"/>
        </w:rPr>
      </w:pPr>
      <w:hyperlink r:id="rId7" w:tgtFrame="_blank" w:history="1">
        <w:r w:rsidRPr="001F2072">
          <w:rPr>
            <w:rFonts w:ascii="Helvetica" w:eastAsia="Times New Roman" w:hAnsi="Helvetica" w:cs="Helvetica"/>
            <w:color w:val="0088CC"/>
            <w:sz w:val="20"/>
            <w:szCs w:val="20"/>
            <w:lang w:val="en"/>
          </w:rPr>
          <w:t>http://hss.pages.tcnj.edu/school-resources/mission-vision-statements/</w:t>
        </w:r>
      </w:hyperlink>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REQUIRED TEXTS</w:t>
      </w:r>
      <w:r w:rsidRPr="001F2072">
        <w:rPr>
          <w:rFonts w:ascii="MS Gothic" w:eastAsia="MS Gothic" w:hAnsi="MS Gothic" w:cs="MS Gothic"/>
          <w:b/>
          <w:bCs/>
          <w:color w:val="333333"/>
          <w:sz w:val="20"/>
          <w:szCs w:val="20"/>
          <w:lang w:val="en"/>
        </w:rPr>
        <w:t>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proofErr w:type="gramStart"/>
      <w:r w:rsidRPr="001F2072">
        <w:rPr>
          <w:rFonts w:ascii="Helvetica" w:eastAsia="Times New Roman" w:hAnsi="Helvetica" w:cs="Helvetica"/>
          <w:color w:val="333333"/>
          <w:sz w:val="20"/>
          <w:szCs w:val="20"/>
          <w:lang w:val="en"/>
        </w:rPr>
        <w:t xml:space="preserve">Cooper, T. </w:t>
      </w:r>
      <w:r w:rsidRPr="001F2072">
        <w:rPr>
          <w:rFonts w:ascii="Helvetica" w:eastAsia="Times New Roman" w:hAnsi="Helvetica" w:cs="Helvetica"/>
          <w:i/>
          <w:iCs/>
          <w:color w:val="333333"/>
          <w:sz w:val="20"/>
          <w:szCs w:val="20"/>
          <w:lang w:val="en"/>
        </w:rPr>
        <w:t>Real Man Adventures</w:t>
      </w:r>
      <w:r w:rsidRPr="001F2072">
        <w:rPr>
          <w:rFonts w:ascii="Helvetica" w:eastAsia="Times New Roman" w:hAnsi="Helvetica" w:cs="Helvetica"/>
          <w:color w:val="333333"/>
          <w:sz w:val="20"/>
          <w:szCs w:val="20"/>
          <w:lang w:val="en"/>
        </w:rPr>
        <w:t>.</w:t>
      </w:r>
      <w:proofErr w:type="gramEnd"/>
      <w:r w:rsidRPr="001F2072">
        <w:rPr>
          <w:rFonts w:ascii="Helvetica" w:eastAsia="Times New Roman" w:hAnsi="Helvetica" w:cs="Helvetica"/>
          <w:color w:val="333333"/>
          <w:sz w:val="20"/>
          <w:szCs w:val="20"/>
          <w:lang w:val="en"/>
        </w:rPr>
        <w:t xml:space="preserve"> </w:t>
      </w:r>
      <w:proofErr w:type="spellStart"/>
      <w:proofErr w:type="gramStart"/>
      <w:r w:rsidRPr="001F2072">
        <w:rPr>
          <w:rFonts w:ascii="Helvetica" w:eastAsia="Times New Roman" w:hAnsi="Helvetica" w:cs="Helvetica"/>
          <w:color w:val="333333"/>
          <w:sz w:val="20"/>
          <w:szCs w:val="20"/>
          <w:lang w:val="en"/>
        </w:rPr>
        <w:t>McSweeney’s</w:t>
      </w:r>
      <w:proofErr w:type="spellEnd"/>
      <w:r w:rsidRPr="001F2072">
        <w:rPr>
          <w:rFonts w:ascii="Helvetica" w:eastAsia="Times New Roman" w:hAnsi="Helvetica" w:cs="Helvetica"/>
          <w:color w:val="333333"/>
          <w:sz w:val="20"/>
          <w:szCs w:val="20"/>
          <w:lang w:val="en"/>
        </w:rPr>
        <w:t xml:space="preserve"> Books.</w:t>
      </w:r>
      <w:proofErr w:type="gramEnd"/>
      <w:r w:rsidRPr="001F2072">
        <w:rPr>
          <w:rFonts w:ascii="Helvetica" w:eastAsia="Times New Roman" w:hAnsi="Helvetica" w:cs="Helvetica"/>
          <w:color w:val="333333"/>
          <w:sz w:val="20"/>
          <w:szCs w:val="20"/>
          <w:lang w:val="en"/>
        </w:rPr>
        <w:t xml:space="preserve"> </w:t>
      </w:r>
      <w:proofErr w:type="gramStart"/>
      <w:r w:rsidRPr="001F2072">
        <w:rPr>
          <w:rFonts w:ascii="Helvetica" w:eastAsia="Times New Roman" w:hAnsi="Helvetica" w:cs="Helvetica"/>
          <w:color w:val="333333"/>
          <w:sz w:val="20"/>
          <w:szCs w:val="20"/>
          <w:lang w:val="en"/>
        </w:rPr>
        <w:t>San Francisco, 2012.</w:t>
      </w:r>
      <w:proofErr w:type="gramEnd"/>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proofErr w:type="spellStart"/>
      <w:r w:rsidRPr="001F2072">
        <w:rPr>
          <w:rFonts w:ascii="Helvetica" w:eastAsia="Times New Roman" w:hAnsi="Helvetica" w:cs="Helvetica"/>
          <w:color w:val="333333"/>
          <w:sz w:val="20"/>
          <w:szCs w:val="20"/>
          <w:lang w:val="en"/>
        </w:rPr>
        <w:t>DeLine</w:t>
      </w:r>
      <w:proofErr w:type="spellEnd"/>
      <w:r w:rsidRPr="001F2072">
        <w:rPr>
          <w:rFonts w:ascii="Helvetica" w:eastAsia="Times New Roman" w:hAnsi="Helvetica" w:cs="Helvetica"/>
          <w:color w:val="333333"/>
          <w:sz w:val="20"/>
          <w:szCs w:val="20"/>
          <w:lang w:val="en"/>
        </w:rPr>
        <w:t xml:space="preserve">, Elliott. </w:t>
      </w:r>
      <w:r w:rsidRPr="001F2072">
        <w:rPr>
          <w:rFonts w:ascii="Helvetica" w:eastAsia="Times New Roman" w:hAnsi="Helvetica" w:cs="Helvetica"/>
          <w:i/>
          <w:iCs/>
          <w:color w:val="333333"/>
          <w:sz w:val="20"/>
          <w:szCs w:val="20"/>
          <w:lang w:val="en"/>
        </w:rPr>
        <w:t>Refuse</w:t>
      </w:r>
      <w:r w:rsidRPr="001F2072">
        <w:rPr>
          <w:rFonts w:ascii="Helvetica" w:eastAsia="Times New Roman" w:hAnsi="Helvetica" w:cs="Helvetica"/>
          <w:color w:val="333333"/>
          <w:sz w:val="20"/>
          <w:szCs w:val="20"/>
          <w:lang w:val="en"/>
        </w:rPr>
        <w:t xml:space="preserve">. </w:t>
      </w:r>
      <w:proofErr w:type="gramStart"/>
      <w:r w:rsidRPr="001F2072">
        <w:rPr>
          <w:rFonts w:ascii="Helvetica" w:eastAsia="Times New Roman" w:hAnsi="Helvetica" w:cs="Helvetica"/>
          <w:color w:val="333333"/>
          <w:sz w:val="20"/>
          <w:szCs w:val="20"/>
          <w:lang w:val="en"/>
        </w:rPr>
        <w:t>Lulu Press.</w:t>
      </w:r>
      <w:proofErr w:type="gramEnd"/>
      <w:r w:rsidRPr="001F2072">
        <w:rPr>
          <w:rFonts w:ascii="Helvetica" w:eastAsia="Times New Roman" w:hAnsi="Helvetica" w:cs="Helvetica"/>
          <w:color w:val="333333"/>
          <w:sz w:val="20"/>
          <w:szCs w:val="20"/>
          <w:lang w:val="en"/>
        </w:rPr>
        <w:t xml:space="preserve"> </w:t>
      </w:r>
      <w:proofErr w:type="gramStart"/>
      <w:r w:rsidRPr="001F2072">
        <w:rPr>
          <w:rFonts w:ascii="Helvetica" w:eastAsia="Times New Roman" w:hAnsi="Helvetica" w:cs="Helvetica"/>
          <w:color w:val="333333"/>
          <w:sz w:val="20"/>
          <w:szCs w:val="20"/>
          <w:lang w:val="en"/>
        </w:rPr>
        <w:t>Raleigh, 2009.</w:t>
      </w:r>
      <w:proofErr w:type="gramEnd"/>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proofErr w:type="spellStart"/>
      <w:r w:rsidRPr="001F2072">
        <w:rPr>
          <w:rFonts w:ascii="Helvetica" w:eastAsia="Times New Roman" w:hAnsi="Helvetica" w:cs="Helvetica"/>
          <w:color w:val="333333"/>
          <w:sz w:val="20"/>
          <w:szCs w:val="20"/>
          <w:lang w:val="en"/>
        </w:rPr>
        <w:t>Halberstam</w:t>
      </w:r>
      <w:proofErr w:type="spellEnd"/>
      <w:r w:rsidRPr="001F2072">
        <w:rPr>
          <w:rFonts w:ascii="Helvetica" w:eastAsia="Times New Roman" w:hAnsi="Helvetica" w:cs="Helvetica"/>
          <w:color w:val="333333"/>
          <w:sz w:val="20"/>
          <w:szCs w:val="20"/>
          <w:lang w:val="en"/>
        </w:rPr>
        <w:t xml:space="preserve">, Judith. </w:t>
      </w:r>
      <w:r w:rsidRPr="001F2072">
        <w:rPr>
          <w:rFonts w:ascii="Helvetica" w:eastAsia="Times New Roman" w:hAnsi="Helvetica" w:cs="Helvetica"/>
          <w:i/>
          <w:iCs/>
          <w:color w:val="333333"/>
          <w:sz w:val="20"/>
          <w:szCs w:val="20"/>
          <w:lang w:val="en"/>
        </w:rPr>
        <w:t>In a Queer Time and Place: Transgender Bodies, Subcultural Lives</w:t>
      </w:r>
      <w:r w:rsidRPr="001F2072">
        <w:rPr>
          <w:rFonts w:ascii="Helvetica" w:eastAsia="Times New Roman" w:hAnsi="Helvetica" w:cs="Helvetica"/>
          <w:color w:val="333333"/>
          <w:sz w:val="20"/>
          <w:szCs w:val="20"/>
          <w:lang w:val="en"/>
        </w:rPr>
        <w:t xml:space="preserve">. </w:t>
      </w:r>
      <w:proofErr w:type="gramStart"/>
      <w:r w:rsidRPr="001F2072">
        <w:rPr>
          <w:rFonts w:ascii="Helvetica" w:eastAsia="Times New Roman" w:hAnsi="Helvetica" w:cs="Helvetica"/>
          <w:color w:val="333333"/>
          <w:sz w:val="20"/>
          <w:szCs w:val="20"/>
          <w:lang w:val="en"/>
        </w:rPr>
        <w:t>NYU Press.</w:t>
      </w:r>
      <w:proofErr w:type="gramEnd"/>
      <w:r w:rsidRPr="001F2072">
        <w:rPr>
          <w:rFonts w:ascii="Helvetica" w:eastAsia="Times New Roman" w:hAnsi="Helvetica" w:cs="Helvetica"/>
          <w:color w:val="333333"/>
          <w:sz w:val="20"/>
          <w:szCs w:val="20"/>
          <w:lang w:val="en"/>
        </w:rPr>
        <w:t xml:space="preserve"> </w:t>
      </w:r>
      <w:proofErr w:type="gramStart"/>
      <w:r w:rsidRPr="001F2072">
        <w:rPr>
          <w:rFonts w:ascii="Helvetica" w:eastAsia="Times New Roman" w:hAnsi="Helvetica" w:cs="Helvetica"/>
          <w:color w:val="333333"/>
          <w:sz w:val="20"/>
          <w:szCs w:val="20"/>
          <w:lang w:val="en"/>
        </w:rPr>
        <w:t>New York, 2000.</w:t>
      </w:r>
      <w:proofErr w:type="gramEnd"/>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Stryker, Susan and Whittle. </w:t>
      </w:r>
      <w:proofErr w:type="gramStart"/>
      <w:r w:rsidRPr="001F2072">
        <w:rPr>
          <w:rFonts w:ascii="Helvetica" w:eastAsia="Times New Roman" w:hAnsi="Helvetica" w:cs="Helvetica"/>
          <w:i/>
          <w:iCs/>
          <w:color w:val="333333"/>
          <w:sz w:val="20"/>
          <w:szCs w:val="20"/>
          <w:lang w:val="en"/>
        </w:rPr>
        <w:t>The Transgender Studies Reader</w:t>
      </w:r>
      <w:r w:rsidRPr="001F2072">
        <w:rPr>
          <w:rFonts w:ascii="Helvetica" w:eastAsia="Times New Roman" w:hAnsi="Helvetica" w:cs="Helvetica"/>
          <w:color w:val="333333"/>
          <w:sz w:val="20"/>
          <w:szCs w:val="20"/>
          <w:lang w:val="en"/>
        </w:rPr>
        <w:t>.</w:t>
      </w:r>
      <w:proofErr w:type="gramEnd"/>
      <w:r w:rsidRPr="001F2072">
        <w:rPr>
          <w:rFonts w:ascii="Helvetica" w:eastAsia="Times New Roman" w:hAnsi="Helvetica" w:cs="Helvetica"/>
          <w:color w:val="333333"/>
          <w:sz w:val="20"/>
          <w:szCs w:val="20"/>
          <w:lang w:val="en"/>
        </w:rPr>
        <w:t xml:space="preserve"> </w:t>
      </w:r>
      <w:proofErr w:type="spellStart"/>
      <w:r w:rsidRPr="001F2072">
        <w:rPr>
          <w:rFonts w:ascii="Helvetica" w:eastAsia="Times New Roman" w:hAnsi="Helvetica" w:cs="Helvetica"/>
          <w:color w:val="333333"/>
          <w:sz w:val="20"/>
          <w:szCs w:val="20"/>
          <w:lang w:val="en"/>
        </w:rPr>
        <w:t>Routledge</w:t>
      </w:r>
      <w:proofErr w:type="spellEnd"/>
      <w:r w:rsidRPr="001F2072">
        <w:rPr>
          <w:rFonts w:ascii="Helvetica" w:eastAsia="Times New Roman" w:hAnsi="Helvetica" w:cs="Helvetica"/>
          <w:color w:val="333333"/>
          <w:sz w:val="20"/>
          <w:szCs w:val="20"/>
          <w:lang w:val="en"/>
        </w:rPr>
        <w:t xml:space="preserve"> Press. </w:t>
      </w:r>
      <w:proofErr w:type="gramStart"/>
      <w:r w:rsidRPr="001F2072">
        <w:rPr>
          <w:rFonts w:ascii="Helvetica" w:eastAsia="Times New Roman" w:hAnsi="Helvetica" w:cs="Helvetica"/>
          <w:color w:val="333333"/>
          <w:sz w:val="20"/>
          <w:szCs w:val="20"/>
          <w:lang w:val="en"/>
        </w:rPr>
        <w:t>New York, 2000.</w:t>
      </w:r>
      <w:proofErr w:type="gramEnd"/>
      <w:r w:rsidRPr="001F2072">
        <w:rPr>
          <w:rFonts w:ascii="Helvetica" w:eastAsia="Times New Roman" w:hAnsi="Helvetica" w:cs="Helvetica"/>
          <w:color w:val="333333"/>
          <w:sz w:val="20"/>
          <w:szCs w:val="20"/>
          <w:lang w:val="en"/>
        </w:rPr>
        <w:t xml:space="preserve">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SCHEDULE OF CLASSES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1, August 28, 2013, Introduction</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2, September 4, 2013, Refuse (Part One) and Chapter 25 of Transgender Studies Reader;</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3, September 11, 2013, Refuse (Finish the Novel); Real Man Adventures (First Half)</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4, September 18, 2013, Real Man Adventures (Second Half); Chapter 1 of In a Queer Time and Place; Chapter 19 of Transgender Studies Reader and Watch Part or All of Boys Don’t Cry</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Week 5, September 25, 2013, Chapter 2 of Queer Time and Place; Chapter 19 of Transgender Studies Reader; Watch Brandon </w:t>
      </w:r>
      <w:proofErr w:type="spellStart"/>
      <w:r w:rsidRPr="001F2072">
        <w:rPr>
          <w:rFonts w:ascii="Helvetica" w:eastAsia="Times New Roman" w:hAnsi="Helvetica" w:cs="Helvetica"/>
          <w:color w:val="333333"/>
          <w:sz w:val="20"/>
          <w:szCs w:val="20"/>
          <w:lang w:val="en"/>
        </w:rPr>
        <w:t>Teena</w:t>
      </w:r>
      <w:proofErr w:type="spellEnd"/>
      <w:r w:rsidRPr="001F2072">
        <w:rPr>
          <w:rFonts w:ascii="Helvetica" w:eastAsia="Times New Roman" w:hAnsi="Helvetica" w:cs="Helvetica"/>
          <w:color w:val="333333"/>
          <w:sz w:val="20"/>
          <w:szCs w:val="20"/>
          <w:lang w:val="en"/>
        </w:rPr>
        <w:t xml:space="preserve"> Story before Class * * * * Thesis, Weekly Notes, and One-Page Plan for the Project * * *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Week 6, Oct 2, Chapter 9, 14, 31 of Transgender Studies Reader; Google or </w:t>
      </w:r>
      <w:proofErr w:type="spellStart"/>
      <w:r w:rsidRPr="001F2072">
        <w:rPr>
          <w:rFonts w:ascii="Helvetica" w:eastAsia="Times New Roman" w:hAnsi="Helvetica" w:cs="Helvetica"/>
          <w:color w:val="333333"/>
          <w:sz w:val="20"/>
          <w:szCs w:val="20"/>
          <w:lang w:val="en"/>
        </w:rPr>
        <w:t>Youtube</w:t>
      </w:r>
      <w:proofErr w:type="spellEnd"/>
      <w:r w:rsidRPr="001F2072">
        <w:rPr>
          <w:rFonts w:ascii="Helvetica" w:eastAsia="Times New Roman" w:hAnsi="Helvetica" w:cs="Helvetica"/>
          <w:color w:val="333333"/>
          <w:sz w:val="20"/>
          <w:szCs w:val="20"/>
          <w:lang w:val="en"/>
        </w:rPr>
        <w:t xml:space="preserve"> a short clip of Hedwig and the Angry Inch (movie); Gender Spectrum (website); Huffington Post (any story on transgender issues); popular media (locate one story, clip, or current coverage of transgender issues found in mainstream media)</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7, October 9, 2013, Chapter 4 of Queer Time and Place; Read at least one text that is relevant to your project, create an annotated bibliographic entry, and bring a hard copy of that to class * * * * Midterm * * *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8, October 16, 2013, Chapter 22, 25, and 27 of Transgender Studies Reader: * * * SEED PAPER * * *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Week 9, October 23, 2013, LIBRARY CLASS; Read at least one text that is relevant to your project, create an annotated bibliographic entry, and bring a hard copy of that to class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Week 10, October 30, 2013, Read at least two texts that are relevant to your project, create annotated bibliographic entries, and bring a hard copy of that to class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lastRenderedPageBreak/>
        <w:t>Week 11, November 6, 2013, Presentations * * * ANNOTATED BIBLIOGRAPHY * *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12, November 13, 2013, Presentations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13, November 20, 2013, Presentations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14, November 27, 2013, Thanksgiving</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Week 15, December 4, 2013, * * * FINAL PRESENTATION * *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ASSIGNMENTS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THESIS, WEEKLY NOTES, AND ONE-PAGE PLAN OF PROJECT (10 points): For weeks 1-5, you are required to post to CANVAS weekly notes. Please label the notes 1-5. We will generate the first week of notes in the first class, and you will post these to CANVAS. These notes may be in the form of </w:t>
      </w:r>
      <w:proofErr w:type="spellStart"/>
      <w:r w:rsidRPr="001F2072">
        <w:rPr>
          <w:rFonts w:ascii="Helvetica" w:eastAsia="Times New Roman" w:hAnsi="Helvetica" w:cs="Helvetica"/>
          <w:color w:val="333333"/>
          <w:sz w:val="20"/>
          <w:szCs w:val="20"/>
          <w:lang w:val="en"/>
        </w:rPr>
        <w:t>freewriting</w:t>
      </w:r>
      <w:proofErr w:type="spellEnd"/>
      <w:r w:rsidRPr="001F2072">
        <w:rPr>
          <w:rFonts w:ascii="Helvetica" w:eastAsia="Times New Roman" w:hAnsi="Helvetica" w:cs="Helvetica"/>
          <w:color w:val="333333"/>
          <w:sz w:val="20"/>
          <w:szCs w:val="20"/>
          <w:lang w:val="en"/>
        </w:rPr>
        <w:t>, a series of questions, and/or idea mapping. When you collect the five weekly notes for a final submission on September 25, you should provide a document (1-2 pages) that narrates the process of brainstorming and honing your topic and finding the thesis. Thesis should appear near the top of the document &amp; labeled “Thesis.”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MIDTERM (10 points): This midterm will be an in-class essay that takes place at the last half of a class session and this midterm helps to evaluate your understanding of class discussion and theory.</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SEED PAPER (20 points): This 5-10 page paper will serve as the foundation for the final paper. It must provide original analysis/argument and incorporate theory (i.e., three quotes from theory readings) </w:t>
      </w:r>
      <w:proofErr w:type="gramStart"/>
      <w:r w:rsidRPr="001F2072">
        <w:rPr>
          <w:rFonts w:ascii="Helvetica" w:eastAsia="Times New Roman" w:hAnsi="Helvetica" w:cs="Helvetica"/>
          <w:color w:val="333333"/>
          <w:sz w:val="20"/>
          <w:szCs w:val="20"/>
          <w:lang w:val="en"/>
        </w:rPr>
        <w:t>You</w:t>
      </w:r>
      <w:proofErr w:type="gramEnd"/>
      <w:r w:rsidRPr="001F2072">
        <w:rPr>
          <w:rFonts w:ascii="Helvetica" w:eastAsia="Times New Roman" w:hAnsi="Helvetica" w:cs="Helvetica"/>
          <w:color w:val="333333"/>
          <w:sz w:val="20"/>
          <w:szCs w:val="20"/>
          <w:lang w:val="en"/>
        </w:rPr>
        <w:t xml:space="preserve"> need NOT address all the primary texts that you imagine eventually including, and, instead, the essay must feel like a finished piece of original analysis/argument, complete with bibliography and MLA form.</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ANNOTATED BIBLIOGRAPHY (10 points): This document must include 10-20 entries. I will provide a hand-out on how to annotate. I have given a wide range of entries because some students will include an entry on an entire book while others will just annotate the introduction of the same book. Key to the annotations success is its argument for the usefulness of the text to the student’s project. Some of you will have more entries that may be considered primary texts (i.e., short story, film, newspaper article) and others will have more secondary texts (i.e., theory, historical context, such as newspaper accounts, book reviews). Your grade will reflect the thoughtfulness of the entries as well as the difficulty and/or time-consuming nature of the entries.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PRESENTATION (10 points): Every student will give a brief presentation on their project, reading (if at all) a paragraph or two from their paper and mainly summarizing the project. The longer and more substantial part of the presentation will involve the fielding of questions and comments from the class.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FINAL PAPER (40 points): This is what it is all about. The final paper should aspire to be a publishable piece of original scholarship, one that makes a new and important contribution to the field. The rubric I use will seem familiar from other classes, but there will be a noticeable emphasis on how the paper reflects a deeper engagement with the existing, related scholarship (i.e., literature review), the importance of theory in supporting the analysis/argument, and the sustaining of a longer and deeper analysis/argument that is 15-25 pages.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lastRenderedPageBreak/>
        <w:t>IMPORTANT NOTE ABOUT SUBMITTING AN ESSAY (i.e., The Seed Paper &amp; The Final Essay)</w:t>
      </w:r>
      <w:proofErr w:type="gramStart"/>
      <w:r w:rsidRPr="001F2072">
        <w:rPr>
          <w:rFonts w:ascii="Helvetica" w:eastAsia="Times New Roman" w:hAnsi="Helvetica" w:cs="Helvetica"/>
          <w:color w:val="333333"/>
          <w:sz w:val="20"/>
          <w:szCs w:val="20"/>
          <w:lang w:val="en"/>
        </w:rPr>
        <w:t>:</w:t>
      </w:r>
      <w:proofErr w:type="gramEnd"/>
      <w:r w:rsidRPr="001F2072">
        <w:rPr>
          <w:rFonts w:ascii="Helvetica" w:eastAsia="Times New Roman" w:hAnsi="Helvetica" w:cs="Helvetica"/>
          <w:color w:val="333333"/>
          <w:sz w:val="20"/>
          <w:szCs w:val="20"/>
          <w:lang w:val="en"/>
        </w:rPr>
        <w:br/>
        <w:t>I will return all papers ungraded if any one of the following serious errors occur:</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1) Every paper must have a title.</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2) Every paper must be double spaced.</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3) Every paper must provide the following information in the upper-left corner:</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proofErr w:type="spellStart"/>
      <w:r w:rsidRPr="001F2072">
        <w:rPr>
          <w:rFonts w:ascii="Helvetica" w:eastAsia="Times New Roman" w:hAnsi="Helvetica" w:cs="Helvetica"/>
          <w:color w:val="333333"/>
          <w:sz w:val="20"/>
          <w:szCs w:val="20"/>
          <w:lang w:val="en"/>
        </w:rPr>
        <w:t>Juda</w:t>
      </w:r>
      <w:proofErr w:type="spellEnd"/>
      <w:r w:rsidRPr="001F2072">
        <w:rPr>
          <w:rFonts w:ascii="Helvetica" w:eastAsia="Times New Roman" w:hAnsi="Helvetica" w:cs="Helvetica"/>
          <w:color w:val="333333"/>
          <w:sz w:val="20"/>
          <w:szCs w:val="20"/>
          <w:lang w:val="en"/>
        </w:rPr>
        <w:t xml:space="preserve"> Bennett, Course Title and Number, Your Name, Date, Word Count.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4) Every paper must spell the text and author name correctly, and the text should either be in quotation marks (if it is a short work, like a short story) or in italics (if it is a long work, like a novel). Consult MLA guidelines for other examples, such as for plays, movies, and other texts.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5) Every paper must quote texts according to the MLA guidelines. I will accept occasional errors in the first essay, but will return papers that continue to show a disregard for form.</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6) I must be able to open your SOCS posted document in Word. If you are unsure about this, you may submit a paper copy as back up.</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If I return your paper ungraded because of one of the above errors, I will accept a revision within 48 hours but it will receive a five point reduction on the grade.</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 xml:space="preserve">PLAGIARISM: </w:t>
      </w:r>
      <w:r w:rsidRPr="001F2072">
        <w:rPr>
          <w:rFonts w:ascii="Helvetica" w:eastAsia="Times New Roman" w:hAnsi="Helvetica" w:cs="Helvetica"/>
          <w:color w:val="333333"/>
          <w:sz w:val="20"/>
          <w:szCs w:val="20"/>
          <w:lang w:val="en"/>
        </w:rPr>
        <w:br/>
        <w:t xml:space="preserve">I expect you to be familiar with TCNJ’s policy on plagiarism and to abide by its standards. </w:t>
      </w:r>
      <w:hyperlink r:id="rId8" w:tgtFrame="_blank" w:history="1">
        <w:r w:rsidRPr="001F2072">
          <w:rPr>
            <w:rFonts w:ascii="Helvetica" w:eastAsia="Times New Roman" w:hAnsi="Helvetica" w:cs="Helvetica"/>
            <w:color w:val="0088CC"/>
            <w:sz w:val="20"/>
            <w:szCs w:val="20"/>
            <w:lang w:val="en"/>
          </w:rPr>
          <w:t>TCNJ’s Academic Integrity Policy</w:t>
        </w:r>
      </w:hyperlink>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GRADING RUBRIC (To Be Posted Soon)</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LATE PAPERS</w:t>
      </w:r>
      <w:r w:rsidRPr="001F2072">
        <w:rPr>
          <w:rFonts w:ascii="Helvetica" w:eastAsia="Times New Roman" w:hAnsi="Helvetica" w:cs="Helvetica"/>
          <w:b/>
          <w:bCs/>
          <w:color w:val="333333"/>
          <w:sz w:val="20"/>
          <w:szCs w:val="20"/>
          <w:lang w:val="en"/>
        </w:rPr>
        <w:t>:</w:t>
      </w:r>
      <w:r w:rsidRPr="001F2072">
        <w:rPr>
          <w:rFonts w:ascii="Helvetica" w:eastAsia="Times New Roman" w:hAnsi="Helvetica" w:cs="Helvetica"/>
          <w:color w:val="333333"/>
          <w:sz w:val="20"/>
          <w:szCs w:val="20"/>
          <w:lang w:val="en"/>
        </w:rPr>
        <w:t xml:space="preserve"> </w:t>
      </w:r>
      <w:r w:rsidRPr="001F2072">
        <w:rPr>
          <w:rFonts w:ascii="Helvetica" w:eastAsia="Times New Roman" w:hAnsi="Helvetica" w:cs="Helvetica"/>
          <w:color w:val="333333"/>
          <w:sz w:val="20"/>
          <w:szCs w:val="20"/>
          <w:lang w:val="en"/>
        </w:rPr>
        <w:br/>
        <w:t>Do I accept them? Not without giving them a penalty. The other students have struggled to meet the due date, and they might have written better papers if they were given more time. 5 point reduction for the first 48 hours. Please speak with me if you hope to submit the paper after a longer delay.</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Number Grades with Letter Grade Equivalent</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93, 94, 95, 96= A</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90, 91, 92= A-</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87, 88, 89= B+</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83, 84, 85, 86= B</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80, 81, 82= B-</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77, 78, 79= C+</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73, 74, 75, 76= C</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t>70, 71, 72= C-</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36"/>
          <w:szCs w:val="36"/>
          <w:lang w:val="en"/>
        </w:rPr>
        <w:lastRenderedPageBreak/>
        <w:t>TCNJ Policies</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br/>
        <w:t>Attendance</w:t>
      </w:r>
      <w:r w:rsidRPr="001F2072">
        <w:rPr>
          <w:rFonts w:ascii="Helvetica" w:eastAsia="Times New Roman" w:hAnsi="Helvetica" w:cs="Helvetica"/>
          <w:b/>
          <w:bCs/>
          <w:color w:val="333333"/>
          <w:sz w:val="20"/>
          <w:szCs w:val="20"/>
          <w:lang w:val="en"/>
        </w:rPr>
        <w:br/>
      </w:r>
      <w:proofErr w:type="gramStart"/>
      <w:r w:rsidRPr="001F2072">
        <w:rPr>
          <w:rFonts w:ascii="Helvetica" w:eastAsia="Times New Roman" w:hAnsi="Helvetica" w:cs="Helvetica"/>
          <w:i/>
          <w:iCs/>
          <w:color w:val="333333"/>
          <w:sz w:val="20"/>
          <w:szCs w:val="20"/>
          <w:lang w:val="en"/>
        </w:rPr>
        <w:t>Every</w:t>
      </w:r>
      <w:proofErr w:type="gramEnd"/>
      <w:r w:rsidRPr="001F2072">
        <w:rPr>
          <w:rFonts w:ascii="Helvetica" w:eastAsia="Times New Roman" w:hAnsi="Helvetica" w:cs="Helvetica"/>
          <w:i/>
          <w:iCs/>
          <w:color w:val="333333"/>
          <w:sz w:val="20"/>
          <w:szCs w:val="20"/>
          <w:lang w:val="en"/>
        </w:rPr>
        <w:t xml:space="preserve"> student is expected to participate in each of his/her courses through regular attendance at lecture and laboratory sessions. It is further expected that every student will be present, on time, and prepared to participate when scheduled class sessions begin. At the first class meeting of a semester, instructors are expected to distribute in writing the attendance policies which apply to their courses. While attendance itself is not used as a criterion for academic evaluations, grading is frequently based on participation in class discussion, laboratory work, performance, studio practice, field experience, or other activities which may take place during class sessions. If these areas for evaluation make class attendance essential, the student may be penalized for failure to perform satisfactorily in the required activities. Students who must miss classes due to participation in a field trip, athletic event, or other official college function should arrange with their instructors for such class absences well in advance. The Office of Academic Affairs will verify, upon request, the dates of and participation in such college functions. In every instance, however, the student has the responsibility to initiate arrangements for make-up work.</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i/>
          <w:iCs/>
          <w:color w:val="333333"/>
          <w:sz w:val="20"/>
          <w:szCs w:val="20"/>
          <w:lang w:val="en"/>
        </w:rPr>
        <w:t>Students are expected to attend class and complete assignments as scheduled, to avoid outside conflicts (if possible), and to enroll only in those classes that they can expect to attend on a regular basis. Absences from class are handled between students and instructors. The instructor may require documentation to substantiate the reason for the absence. The instructor should provide make-up opportunities for student absences caused by illness, injury, death in the family, observance of religious holidays, and similarly compelling personal reasons including physical disabilities. For lengthy absences, make-up opportunities might not be feasible and are at the discretion of the instructor. The Office of Academic Affairs will notify the faculty of the dates of religious holidays on which large numbers of students are likely to be absent and are, therefore, unsuitable for the scheduling of examinations. Students have the responsibility of notifying the instructors in advance of expected absences. In cases of absence for a week or more, students are to notify their instructors immediately. If they are unable to do so they may contact the Office of Records and Registration. The Office of Records and Registration will notify the instructor of the student’s absence. The notification is not an excuse but simply a service provided by the Office of Records and Registration. Notifications cannot be acted upon if received after an absence. In every instance the student has the responsibility to initiate arrangements for make-up work.</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TCNJ Attendance Policy</w:t>
      </w:r>
      <w:r w:rsidRPr="001F2072">
        <w:rPr>
          <w:rFonts w:ascii="Helvetica" w:eastAsia="Times New Roman" w:hAnsi="Helvetica" w:cs="Helvetica"/>
          <w:color w:val="333333"/>
          <w:sz w:val="20"/>
          <w:szCs w:val="20"/>
          <w:lang w:val="en"/>
        </w:rPr>
        <w:t xml:space="preserve">: </w:t>
      </w:r>
      <w:hyperlink r:id="rId9" w:tgtFrame="_blank" w:history="1">
        <w:r w:rsidRPr="001F2072">
          <w:rPr>
            <w:rFonts w:ascii="Helvetica" w:eastAsia="Times New Roman" w:hAnsi="Helvetica" w:cs="Helvetica"/>
            <w:color w:val="0088CC"/>
            <w:sz w:val="20"/>
            <w:szCs w:val="20"/>
            <w:lang w:val="en"/>
          </w:rPr>
          <w:t>http://policies.tcnj.edu/policies/digest.php?docId=8162</w:t>
        </w:r>
      </w:hyperlink>
      <w:r w:rsidRPr="001F2072">
        <w:rPr>
          <w:rFonts w:ascii="Helvetica" w:eastAsia="Times New Roman" w:hAnsi="Helvetica" w:cs="Helvetica"/>
          <w:i/>
          <w:iCs/>
          <w:color w:val="333333"/>
          <w:sz w:val="20"/>
          <w:szCs w:val="20"/>
          <w:lang w:val="en"/>
        </w:rPr>
        <w:t xml:space="preserve"> </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Academic Integrity Policy</w:t>
      </w:r>
      <w:r w:rsidRPr="001F2072">
        <w:rPr>
          <w:rFonts w:ascii="Helvetica" w:eastAsia="Times New Roman" w:hAnsi="Helvetica" w:cs="Helvetica"/>
          <w:b/>
          <w:bCs/>
          <w:color w:val="333333"/>
          <w:sz w:val="20"/>
          <w:szCs w:val="20"/>
          <w:lang w:val="en"/>
        </w:rPr>
        <w:br/>
      </w:r>
      <w:r w:rsidRPr="001F2072">
        <w:rPr>
          <w:rFonts w:ascii="Helvetica" w:eastAsia="Times New Roman" w:hAnsi="Helvetica" w:cs="Helvetica"/>
          <w:i/>
          <w:iCs/>
          <w:color w:val="333333"/>
          <w:sz w:val="20"/>
          <w:szCs w:val="20"/>
          <w:lang w:val="en"/>
        </w:rPr>
        <w:t xml:space="preserve">Academic dishonesty is any attempt by the student to gain academic advantage through dishonest means, to submit, as his or </w:t>
      </w:r>
      <w:proofErr w:type="gramStart"/>
      <w:r w:rsidRPr="001F2072">
        <w:rPr>
          <w:rFonts w:ascii="Helvetica" w:eastAsia="Times New Roman" w:hAnsi="Helvetica" w:cs="Helvetica"/>
          <w:i/>
          <w:iCs/>
          <w:color w:val="333333"/>
          <w:sz w:val="20"/>
          <w:szCs w:val="20"/>
          <w:lang w:val="en"/>
        </w:rPr>
        <w:t>her own</w:t>
      </w:r>
      <w:proofErr w:type="gramEnd"/>
      <w:r w:rsidRPr="001F2072">
        <w:rPr>
          <w:rFonts w:ascii="Helvetica" w:eastAsia="Times New Roman" w:hAnsi="Helvetica" w:cs="Helvetica"/>
          <w:i/>
          <w:iCs/>
          <w:color w:val="333333"/>
          <w:sz w:val="20"/>
          <w:szCs w:val="20"/>
          <w:lang w:val="en"/>
        </w:rPr>
        <w:t>, work which has not been done by him/her or to give improper aid to another student in the completion of an assignment. Such dishonesty would include, but is not limited to: submitting as his/her own a project, paper, report, test, or speech copied from, partially copied, or paraphrased from the work of another (whether the source is printed, under copyright, or in manuscript form). Credit must be given for words quoted or paraphrased. The rules apply to any academic dishonesty, whether the work is graded or ungraded, group or individual, written or oral.</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color w:val="333333"/>
          <w:sz w:val="20"/>
          <w:szCs w:val="20"/>
          <w:lang w:val="en"/>
        </w:rPr>
        <w:lastRenderedPageBreak/>
        <w:t>TCNJ’s academic integrity policy</w:t>
      </w:r>
      <w:r w:rsidRPr="001F2072">
        <w:rPr>
          <w:rFonts w:ascii="Helvetica" w:eastAsia="Times New Roman" w:hAnsi="Helvetica" w:cs="Helvetica"/>
          <w:i/>
          <w:iCs/>
          <w:color w:val="333333"/>
          <w:sz w:val="20"/>
          <w:szCs w:val="20"/>
          <w:lang w:val="en"/>
        </w:rPr>
        <w:t>:</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hyperlink r:id="rId10" w:tgtFrame="_blank" w:history="1">
        <w:r w:rsidRPr="001F2072">
          <w:rPr>
            <w:rFonts w:ascii="Helvetica" w:eastAsia="Times New Roman" w:hAnsi="Helvetica" w:cs="Helvetica"/>
            <w:color w:val="0088CC"/>
            <w:sz w:val="20"/>
            <w:szCs w:val="20"/>
            <w:lang w:val="en"/>
          </w:rPr>
          <w:t>http://policies.tcnj.edu/policies/digest.php?docId=7642</w:t>
        </w:r>
      </w:hyperlink>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i/>
          <w:iCs/>
          <w:color w:val="333333"/>
          <w:sz w:val="20"/>
          <w:szCs w:val="20"/>
          <w:lang w:val="en"/>
        </w:rPr>
        <w:t>Americans with Disabilities Act (ADA) Policy</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Any student who has a documented disability and is in need of academic accommodations should notify the professor of this course and contact the Office of Differing Abilities Services (609-771-2571). Accommodations are individualized and in accordance with Section 504 of the Rehabilitation Act of 1973 and the Americans with Disabilities Act of 1992.</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i/>
          <w:iCs/>
          <w:color w:val="333333"/>
          <w:sz w:val="20"/>
          <w:szCs w:val="20"/>
          <w:lang w:val="en"/>
        </w:rPr>
        <w:t xml:space="preserve">TCNJ’s </w:t>
      </w:r>
      <w:r w:rsidRPr="001F2072">
        <w:rPr>
          <w:rFonts w:ascii="Helvetica" w:eastAsia="Times New Roman" w:hAnsi="Helvetica" w:cs="Helvetica"/>
          <w:color w:val="333333"/>
          <w:sz w:val="20"/>
          <w:szCs w:val="20"/>
          <w:lang w:val="en"/>
        </w:rPr>
        <w:t xml:space="preserve">Americans with Disabilities Act policy: </w:t>
      </w:r>
      <w:hyperlink r:id="rId11" w:tgtFrame="_blank" w:history="1">
        <w:r w:rsidRPr="001F2072">
          <w:rPr>
            <w:rFonts w:ascii="Helvetica" w:eastAsia="Times New Roman" w:hAnsi="Helvetica" w:cs="Helvetica"/>
            <w:color w:val="0088CC"/>
            <w:sz w:val="20"/>
            <w:szCs w:val="20"/>
            <w:lang w:val="en"/>
          </w:rPr>
          <w:t>http://affirm.pages.tcnj.edu/key-documents/</w:t>
        </w:r>
      </w:hyperlink>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 xml:space="preserve">Final Exam Policy </w:t>
      </w:r>
      <w:hyperlink r:id="rId12" w:tgtFrame="_blank" w:history="1">
        <w:r w:rsidRPr="001F2072">
          <w:rPr>
            <w:rFonts w:ascii="Helvetica" w:eastAsia="Times New Roman" w:hAnsi="Helvetica" w:cs="Helvetica"/>
            <w:color w:val="0088CC"/>
            <w:sz w:val="20"/>
            <w:szCs w:val="20"/>
            <w:lang w:val="en"/>
          </w:rPr>
          <w:t>http://recreg.pages.tcnj.edu/269-2</w:t>
        </w:r>
      </w:hyperlink>
      <w:r w:rsidRPr="001F2072">
        <w:rPr>
          <w:rFonts w:ascii="Helvetica" w:eastAsia="Times New Roman" w:hAnsi="Helvetica" w:cs="Helvetica"/>
          <w:color w:val="333333"/>
          <w:sz w:val="20"/>
          <w:szCs w:val="20"/>
          <w:lang w:val="en"/>
        </w:rPr>
        <w:t>/</w:t>
      </w:r>
    </w:p>
    <w:p w:rsidR="001F2072" w:rsidRPr="001F2072" w:rsidRDefault="001F2072" w:rsidP="001F2072">
      <w:pPr>
        <w:shd w:val="clear" w:color="auto" w:fill="FFFFFF"/>
        <w:spacing w:after="150"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Tutoring Center:</w:t>
      </w:r>
      <w:r w:rsidRPr="001F2072">
        <w:rPr>
          <w:rFonts w:ascii="Helvetica" w:eastAsia="Times New Roman" w:hAnsi="Helvetica" w:cs="Helvetica"/>
          <w:color w:val="333333"/>
          <w:sz w:val="20"/>
          <w:szCs w:val="20"/>
          <w:lang w:val="en"/>
        </w:rPr>
        <w:t xml:space="preserve"> </w:t>
      </w:r>
      <w:hyperlink r:id="rId13" w:tgtFrame="_blank" w:history="1">
        <w:r w:rsidRPr="001F2072">
          <w:rPr>
            <w:rFonts w:ascii="Helvetica" w:eastAsia="Times New Roman" w:hAnsi="Helvetica" w:cs="Helvetica"/>
            <w:color w:val="0088CC"/>
            <w:sz w:val="20"/>
            <w:szCs w:val="20"/>
            <w:lang w:val="en"/>
          </w:rPr>
          <w:t>http://tutoringcenter.pages.tcnj.edu</w:t>
        </w:r>
      </w:hyperlink>
      <w:r w:rsidRPr="001F2072">
        <w:rPr>
          <w:rFonts w:ascii="Helvetica" w:eastAsia="Times New Roman" w:hAnsi="Helvetica" w:cs="Helvetica"/>
          <w:color w:val="333333"/>
          <w:sz w:val="20"/>
          <w:szCs w:val="20"/>
          <w:lang w:val="en"/>
        </w:rPr>
        <w:t xml:space="preserve"> </w:t>
      </w:r>
    </w:p>
    <w:p w:rsidR="001F2072" w:rsidRPr="001F2072" w:rsidRDefault="001F2072" w:rsidP="001F2072">
      <w:pPr>
        <w:shd w:val="clear" w:color="auto" w:fill="FFFFFF"/>
        <w:spacing w:line="300" w:lineRule="atLeast"/>
        <w:rPr>
          <w:rFonts w:ascii="Helvetica" w:eastAsia="Times New Roman" w:hAnsi="Helvetica" w:cs="Helvetica"/>
          <w:color w:val="333333"/>
          <w:sz w:val="20"/>
          <w:szCs w:val="20"/>
          <w:lang w:val="en"/>
        </w:rPr>
      </w:pPr>
      <w:r w:rsidRPr="001F2072">
        <w:rPr>
          <w:rFonts w:ascii="Helvetica" w:eastAsia="Times New Roman" w:hAnsi="Helvetica" w:cs="Helvetica"/>
          <w:b/>
          <w:bCs/>
          <w:color w:val="333333"/>
          <w:sz w:val="20"/>
          <w:szCs w:val="20"/>
          <w:lang w:val="en"/>
        </w:rPr>
        <w:t>Library:</w:t>
      </w:r>
      <w:r w:rsidRPr="001F2072">
        <w:rPr>
          <w:rFonts w:ascii="Helvetica" w:eastAsia="Times New Roman" w:hAnsi="Helvetica" w:cs="Helvetica"/>
          <w:color w:val="333333"/>
          <w:sz w:val="20"/>
          <w:szCs w:val="20"/>
          <w:lang w:val="en"/>
        </w:rPr>
        <w:t xml:space="preserve"> </w:t>
      </w:r>
      <w:hyperlink r:id="rId14" w:tgtFrame="_blank" w:history="1">
        <w:r w:rsidRPr="001F2072">
          <w:rPr>
            <w:rFonts w:ascii="Helvetica" w:eastAsia="Times New Roman" w:hAnsi="Helvetica" w:cs="Helvetica"/>
            <w:color w:val="0088CC"/>
            <w:sz w:val="20"/>
            <w:szCs w:val="20"/>
            <w:lang w:val="en"/>
          </w:rPr>
          <w:t>http://library.pages.tcnj.edu</w:t>
        </w:r>
      </w:hyperlink>
    </w:p>
    <w:p w:rsidR="00F96976" w:rsidRDefault="00F96976" w:rsidP="00485BD2">
      <w:pPr>
        <w:tabs>
          <w:tab w:val="left" w:pos="6570"/>
        </w:tabs>
      </w:pPr>
      <w:bookmarkStart w:id="0" w:name="_GoBack"/>
      <w:bookmarkEnd w:id="0"/>
    </w:p>
    <w:sectPr w:rsidR="00F96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C64F0"/>
    <w:multiLevelType w:val="multilevel"/>
    <w:tmpl w:val="5272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72"/>
    <w:rsid w:val="001F2072"/>
    <w:rsid w:val="00485BD2"/>
    <w:rsid w:val="00F9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2072"/>
    <w:pPr>
      <w:spacing w:before="150" w:after="150" w:line="600" w:lineRule="atLeast"/>
      <w:outlineLvl w:val="1"/>
    </w:pPr>
    <w:rPr>
      <w:rFonts w:ascii="inherit" w:eastAsia="Times New Roman" w:hAnsi="inherit" w:cs="Times New Roman"/>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072"/>
    <w:rPr>
      <w:rFonts w:ascii="inherit" w:eastAsia="Times New Roman" w:hAnsi="inherit" w:cs="Times New Roman"/>
      <w:sz w:val="43"/>
      <w:szCs w:val="43"/>
    </w:rPr>
  </w:style>
  <w:style w:type="character" w:styleId="Hyperlink">
    <w:name w:val="Hyperlink"/>
    <w:basedOn w:val="DefaultParagraphFont"/>
    <w:uiPriority w:val="99"/>
    <w:semiHidden/>
    <w:unhideWhenUsed/>
    <w:rsid w:val="001F2072"/>
    <w:rPr>
      <w:strike w:val="0"/>
      <w:dstrike w:val="0"/>
      <w:color w:val="0088CC"/>
      <w:u w:val="none"/>
      <w:effect w:val="none"/>
    </w:rPr>
  </w:style>
  <w:style w:type="character" w:styleId="Emphasis">
    <w:name w:val="Emphasis"/>
    <w:basedOn w:val="DefaultParagraphFont"/>
    <w:uiPriority w:val="20"/>
    <w:qFormat/>
    <w:rsid w:val="001F2072"/>
    <w:rPr>
      <w:i/>
      <w:iCs/>
    </w:rPr>
  </w:style>
  <w:style w:type="character" w:styleId="Strong">
    <w:name w:val="Strong"/>
    <w:basedOn w:val="DefaultParagraphFont"/>
    <w:uiPriority w:val="22"/>
    <w:qFormat/>
    <w:rsid w:val="001F2072"/>
    <w:rPr>
      <w:b/>
      <w:bCs/>
    </w:rPr>
  </w:style>
  <w:style w:type="paragraph" w:styleId="NormalWeb">
    <w:name w:val="Normal (Web)"/>
    <w:basedOn w:val="Normal"/>
    <w:uiPriority w:val="99"/>
    <w:semiHidden/>
    <w:unhideWhenUsed/>
    <w:rsid w:val="001F2072"/>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2072"/>
    <w:pPr>
      <w:spacing w:before="150" w:after="150" w:line="600" w:lineRule="atLeast"/>
      <w:outlineLvl w:val="1"/>
    </w:pPr>
    <w:rPr>
      <w:rFonts w:ascii="inherit" w:eastAsia="Times New Roman" w:hAnsi="inherit" w:cs="Times New Roman"/>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072"/>
    <w:rPr>
      <w:rFonts w:ascii="inherit" w:eastAsia="Times New Roman" w:hAnsi="inherit" w:cs="Times New Roman"/>
      <w:sz w:val="43"/>
      <w:szCs w:val="43"/>
    </w:rPr>
  </w:style>
  <w:style w:type="character" w:styleId="Hyperlink">
    <w:name w:val="Hyperlink"/>
    <w:basedOn w:val="DefaultParagraphFont"/>
    <w:uiPriority w:val="99"/>
    <w:semiHidden/>
    <w:unhideWhenUsed/>
    <w:rsid w:val="001F2072"/>
    <w:rPr>
      <w:strike w:val="0"/>
      <w:dstrike w:val="0"/>
      <w:color w:val="0088CC"/>
      <w:u w:val="none"/>
      <w:effect w:val="none"/>
    </w:rPr>
  </w:style>
  <w:style w:type="character" w:styleId="Emphasis">
    <w:name w:val="Emphasis"/>
    <w:basedOn w:val="DefaultParagraphFont"/>
    <w:uiPriority w:val="20"/>
    <w:qFormat/>
    <w:rsid w:val="001F2072"/>
    <w:rPr>
      <w:i/>
      <w:iCs/>
    </w:rPr>
  </w:style>
  <w:style w:type="character" w:styleId="Strong">
    <w:name w:val="Strong"/>
    <w:basedOn w:val="DefaultParagraphFont"/>
    <w:uiPriority w:val="22"/>
    <w:qFormat/>
    <w:rsid w:val="001F2072"/>
    <w:rPr>
      <w:b/>
      <w:bCs/>
    </w:rPr>
  </w:style>
  <w:style w:type="paragraph" w:styleId="NormalWeb">
    <w:name w:val="Normal (Web)"/>
    <w:basedOn w:val="Normal"/>
    <w:uiPriority w:val="99"/>
    <w:semiHidden/>
    <w:unhideWhenUsed/>
    <w:rsid w:val="001F2072"/>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259400">
      <w:bodyDiv w:val="1"/>
      <w:marLeft w:val="0"/>
      <w:marRight w:val="0"/>
      <w:marTop w:val="0"/>
      <w:marBottom w:val="0"/>
      <w:divBdr>
        <w:top w:val="none" w:sz="0" w:space="0" w:color="auto"/>
        <w:left w:val="none" w:sz="0" w:space="0" w:color="auto"/>
        <w:bottom w:val="none" w:sz="0" w:space="0" w:color="auto"/>
        <w:right w:val="none" w:sz="0" w:space="0" w:color="auto"/>
      </w:divBdr>
      <w:divsChild>
        <w:div w:id="1643848458">
          <w:marLeft w:val="0"/>
          <w:marRight w:val="0"/>
          <w:marTop w:val="0"/>
          <w:marBottom w:val="0"/>
          <w:divBdr>
            <w:top w:val="none" w:sz="0" w:space="0" w:color="auto"/>
            <w:left w:val="none" w:sz="0" w:space="0" w:color="auto"/>
            <w:bottom w:val="none" w:sz="0" w:space="0" w:color="auto"/>
            <w:right w:val="none" w:sz="0" w:space="0" w:color="auto"/>
          </w:divBdr>
          <w:divsChild>
            <w:div w:id="1704013880">
              <w:marLeft w:val="0"/>
              <w:marRight w:val="0"/>
              <w:marTop w:val="0"/>
              <w:marBottom w:val="0"/>
              <w:divBdr>
                <w:top w:val="none" w:sz="0" w:space="0" w:color="auto"/>
                <w:left w:val="none" w:sz="0" w:space="0" w:color="auto"/>
                <w:bottom w:val="none" w:sz="0" w:space="0" w:color="auto"/>
                <w:right w:val="none" w:sz="0" w:space="0" w:color="auto"/>
              </w:divBdr>
              <w:divsChild>
                <w:div w:id="824126780">
                  <w:marLeft w:val="0"/>
                  <w:marRight w:val="0"/>
                  <w:marTop w:val="0"/>
                  <w:marBottom w:val="600"/>
                  <w:divBdr>
                    <w:top w:val="single" w:sz="2" w:space="0" w:color="B6BABF"/>
                    <w:left w:val="single" w:sz="6" w:space="0" w:color="B6BABF"/>
                    <w:bottom w:val="single" w:sz="6" w:space="0" w:color="B6BABF"/>
                    <w:right w:val="single" w:sz="6" w:space="0" w:color="B6BABF"/>
                  </w:divBdr>
                  <w:divsChild>
                    <w:div w:id="179390427">
                      <w:marLeft w:val="0"/>
                      <w:marRight w:val="0"/>
                      <w:marTop w:val="0"/>
                      <w:marBottom w:val="0"/>
                      <w:divBdr>
                        <w:top w:val="none" w:sz="0" w:space="0" w:color="auto"/>
                        <w:left w:val="none" w:sz="0" w:space="0" w:color="auto"/>
                        <w:bottom w:val="none" w:sz="0" w:space="0" w:color="auto"/>
                        <w:right w:val="none" w:sz="0" w:space="0" w:color="auto"/>
                      </w:divBdr>
                      <w:divsChild>
                        <w:div w:id="276525514">
                          <w:marLeft w:val="0"/>
                          <w:marRight w:val="0"/>
                          <w:marTop w:val="0"/>
                          <w:marBottom w:val="0"/>
                          <w:divBdr>
                            <w:top w:val="none" w:sz="0" w:space="0" w:color="auto"/>
                            <w:left w:val="none" w:sz="0" w:space="0" w:color="auto"/>
                            <w:bottom w:val="none" w:sz="0" w:space="0" w:color="auto"/>
                            <w:right w:val="none" w:sz="0" w:space="0" w:color="auto"/>
                          </w:divBdr>
                          <w:divsChild>
                            <w:div w:id="1445996894">
                              <w:marLeft w:val="0"/>
                              <w:marRight w:val="0"/>
                              <w:marTop w:val="0"/>
                              <w:marBottom w:val="0"/>
                              <w:divBdr>
                                <w:top w:val="none" w:sz="0" w:space="0" w:color="auto"/>
                                <w:left w:val="none" w:sz="0" w:space="0" w:color="auto"/>
                                <w:bottom w:val="none" w:sz="0" w:space="0" w:color="auto"/>
                                <w:right w:val="none" w:sz="0" w:space="0" w:color="auto"/>
                              </w:divBdr>
                              <w:divsChild>
                                <w:div w:id="1277328715">
                                  <w:marLeft w:val="0"/>
                                  <w:marRight w:val="0"/>
                                  <w:marTop w:val="0"/>
                                  <w:marBottom w:val="150"/>
                                  <w:divBdr>
                                    <w:top w:val="none" w:sz="0" w:space="0" w:color="auto"/>
                                    <w:left w:val="none" w:sz="0" w:space="0" w:color="auto"/>
                                    <w:bottom w:val="none" w:sz="0" w:space="0" w:color="auto"/>
                                    <w:right w:val="none" w:sz="0" w:space="0" w:color="auto"/>
                                  </w:divBdr>
                                  <w:divsChild>
                                    <w:div w:id="536628892">
                                      <w:marLeft w:val="0"/>
                                      <w:marRight w:val="0"/>
                                      <w:marTop w:val="0"/>
                                      <w:marBottom w:val="0"/>
                                      <w:divBdr>
                                        <w:top w:val="none" w:sz="0" w:space="0" w:color="auto"/>
                                        <w:left w:val="none" w:sz="0" w:space="0" w:color="auto"/>
                                        <w:bottom w:val="none" w:sz="0" w:space="0" w:color="auto"/>
                                        <w:right w:val="none" w:sz="0" w:space="0" w:color="auto"/>
                                      </w:divBdr>
                                    </w:div>
                                    <w:div w:id="1681078891">
                                      <w:marLeft w:val="0"/>
                                      <w:marRight w:val="0"/>
                                      <w:marTop w:val="0"/>
                                      <w:marBottom w:val="0"/>
                                      <w:divBdr>
                                        <w:top w:val="none" w:sz="0" w:space="0" w:color="auto"/>
                                        <w:left w:val="none" w:sz="0" w:space="0" w:color="auto"/>
                                        <w:bottom w:val="none" w:sz="0" w:space="0" w:color="auto"/>
                                        <w:right w:val="none" w:sz="0" w:space="0" w:color="auto"/>
                                      </w:divBdr>
                                    </w:div>
                                    <w:div w:id="8451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nj.edu/~academic/policy/integrity.html" TargetMode="External"/><Relationship Id="rId13" Type="http://schemas.openxmlformats.org/officeDocument/2006/relationships/hyperlink" Target="http://tutoringcenter.pages.tcnj.edu" TargetMode="External"/><Relationship Id="rId3" Type="http://schemas.microsoft.com/office/2007/relationships/stylesWithEffects" Target="stylesWithEffects.xml"/><Relationship Id="rId7" Type="http://schemas.openxmlformats.org/officeDocument/2006/relationships/hyperlink" Target="http://hss.pages.tcnj.edu/school-resources/mission-vision-statements/" TargetMode="External"/><Relationship Id="rId12" Type="http://schemas.openxmlformats.org/officeDocument/2006/relationships/hyperlink" Target="http://recreg.pages.tcnj.edu/26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glish.pages.tcnj.edu/english-programs/english-major/english-major-goals/" TargetMode="External"/><Relationship Id="rId11" Type="http://schemas.openxmlformats.org/officeDocument/2006/relationships/hyperlink" Target="http://affirm.pages.tcnj.edu/key-docu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licies.tcnj.edu/policies/digest.php?docId=7642" TargetMode="External"/><Relationship Id="rId4" Type="http://schemas.openxmlformats.org/officeDocument/2006/relationships/settings" Target="settings.xml"/><Relationship Id="rId9" Type="http://schemas.openxmlformats.org/officeDocument/2006/relationships/hyperlink" Target="http://policies.tcnj.edu/policies/digest.php?docId=8162" TargetMode="External"/><Relationship Id="rId14" Type="http://schemas.openxmlformats.org/officeDocument/2006/relationships/hyperlink" Target="http://library.pages.tcnj.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College of New Jersey</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College of New Jersey</dc:creator>
  <cp:lastModifiedBy>The College of New Jersey</cp:lastModifiedBy>
  <cp:revision>2</cp:revision>
  <dcterms:created xsi:type="dcterms:W3CDTF">2013-10-16T17:21:00Z</dcterms:created>
  <dcterms:modified xsi:type="dcterms:W3CDTF">2013-10-16T17:21:00Z</dcterms:modified>
</cp:coreProperties>
</file>