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38C" w:rsidRPr="0051238C" w:rsidRDefault="0051238C" w:rsidP="0051238C">
      <w:pPr>
        <w:pBdr>
          <w:bottom w:val="single" w:sz="6" w:space="1" w:color="auto"/>
        </w:pBdr>
        <w:spacing w:line="240" w:lineRule="auto"/>
        <w:ind w:firstLine="0"/>
        <w:rPr>
          <w:rFonts w:ascii="Times New Roman" w:eastAsia="Calibri" w:hAnsi="Times New Roman" w:cs="Times New Roman"/>
          <w:sz w:val="16"/>
          <w:szCs w:val="16"/>
        </w:rPr>
      </w:pPr>
      <w:r w:rsidRPr="0051238C">
        <w:rPr>
          <w:rFonts w:ascii="Times New Roman" w:eastAsia="Calibri" w:hAnsi="Times New Roman" w:cs="Times New Roman"/>
          <w:sz w:val="16"/>
          <w:szCs w:val="16"/>
        </w:rPr>
        <w:t>COURSE SCHEDULE:  The schedule of readings and assignments (provided below) may change to accommodate class needs or the weather.  I will try to give advanced notice in class or through e-mail in the event of any needed changes, and I will revise the syllabus as soon as possible.</w:t>
      </w:r>
    </w:p>
    <w:p w:rsidR="0051238C" w:rsidRPr="0051238C" w:rsidRDefault="0051238C" w:rsidP="0051238C">
      <w:pPr>
        <w:spacing w:line="240" w:lineRule="auto"/>
        <w:ind w:firstLine="0"/>
        <w:rPr>
          <w:rFonts w:ascii="Times New Roman" w:eastAsia="Calibri" w:hAnsi="Times New Roman" w:cs="Times New Roman"/>
        </w:rPr>
      </w:pPr>
      <w:r w:rsidRPr="0051238C">
        <w:rPr>
          <w:rFonts w:ascii="Times New Roman" w:hAnsi="Times New Roman" w:cs="Times New Roman"/>
        </w:rPr>
        <w:t>Spring 2011</w:t>
      </w:r>
    </w:p>
    <w:p w:rsidR="0051238C" w:rsidRPr="0051238C" w:rsidRDefault="0051238C" w:rsidP="0051238C">
      <w:pPr>
        <w:spacing w:line="240" w:lineRule="auto"/>
        <w:ind w:firstLine="0"/>
        <w:rPr>
          <w:rFonts w:ascii="Times New Roman" w:eastAsia="Calibri" w:hAnsi="Times New Roman" w:cs="Times New Roman"/>
        </w:rPr>
      </w:pPr>
      <w:proofErr w:type="spellStart"/>
      <w:r w:rsidRPr="0051238C">
        <w:rPr>
          <w:rFonts w:ascii="Times New Roman" w:eastAsia="Calibri" w:hAnsi="Times New Roman" w:cs="Times New Roman"/>
        </w:rPr>
        <w:t>Juda</w:t>
      </w:r>
      <w:proofErr w:type="spellEnd"/>
      <w:r w:rsidRPr="0051238C">
        <w:rPr>
          <w:rFonts w:ascii="Times New Roman" w:eastAsia="Calibri" w:hAnsi="Times New Roman" w:cs="Times New Roman"/>
        </w:rPr>
        <w:t xml:space="preserve"> </w:t>
      </w:r>
      <w:r w:rsidRPr="0051238C">
        <w:rPr>
          <w:rFonts w:ascii="Times New Roman" w:hAnsi="Times New Roman" w:cs="Times New Roman"/>
        </w:rPr>
        <w:t xml:space="preserve">Charles </w:t>
      </w:r>
      <w:r w:rsidRPr="0051238C">
        <w:rPr>
          <w:rFonts w:ascii="Times New Roman" w:eastAsia="Calibri" w:hAnsi="Times New Roman" w:cs="Times New Roman"/>
        </w:rPr>
        <w:t>Bennett</w:t>
      </w:r>
    </w:p>
    <w:p w:rsidR="0051238C" w:rsidRPr="0051238C" w:rsidRDefault="0051238C" w:rsidP="0051238C">
      <w:pPr>
        <w:spacing w:line="240" w:lineRule="auto"/>
        <w:ind w:firstLine="0"/>
        <w:rPr>
          <w:rFonts w:ascii="Times New Roman" w:eastAsia="Calibri" w:hAnsi="Times New Roman" w:cs="Times New Roman"/>
        </w:rPr>
      </w:pPr>
      <w:r w:rsidRPr="0051238C">
        <w:rPr>
          <w:rFonts w:ascii="Times New Roman" w:eastAsia="Calibri" w:hAnsi="Times New Roman" w:cs="Times New Roman"/>
        </w:rPr>
        <w:t>Office Hours: M &amp; R, 1</w:t>
      </w:r>
      <w:r w:rsidR="00021CD0">
        <w:rPr>
          <w:rFonts w:ascii="Times New Roman" w:eastAsia="Calibri" w:hAnsi="Times New Roman" w:cs="Times New Roman"/>
        </w:rPr>
        <w:t>1:30-12:00, Tuesday, 9:00-11:00</w:t>
      </w:r>
    </w:p>
    <w:p w:rsidR="0051238C" w:rsidRPr="0051238C" w:rsidRDefault="0051238C" w:rsidP="0051238C">
      <w:pPr>
        <w:spacing w:line="240" w:lineRule="auto"/>
        <w:ind w:firstLine="0"/>
        <w:rPr>
          <w:rFonts w:ascii="Times New Roman" w:eastAsia="Calibri" w:hAnsi="Times New Roman" w:cs="Times New Roman"/>
        </w:rPr>
      </w:pPr>
      <w:r w:rsidRPr="0051238C">
        <w:rPr>
          <w:rFonts w:ascii="Times New Roman" w:eastAsia="Calibri" w:hAnsi="Times New Roman" w:cs="Times New Roman"/>
        </w:rPr>
        <w:t>Office: Bliss 239</w:t>
      </w:r>
    </w:p>
    <w:p w:rsidR="0051238C" w:rsidRPr="0051238C" w:rsidRDefault="0051238C" w:rsidP="0051238C">
      <w:pPr>
        <w:spacing w:line="240" w:lineRule="auto"/>
        <w:ind w:firstLine="0"/>
        <w:rPr>
          <w:rFonts w:ascii="Times New Roman" w:eastAsia="Calibri" w:hAnsi="Times New Roman" w:cs="Times New Roman"/>
        </w:rPr>
      </w:pPr>
      <w:r w:rsidRPr="0051238C">
        <w:rPr>
          <w:rFonts w:ascii="Times New Roman" w:eastAsia="Calibri" w:hAnsi="Times New Roman" w:cs="Times New Roman"/>
        </w:rPr>
        <w:t>Extension: 2380</w:t>
      </w:r>
    </w:p>
    <w:p w:rsidR="0051238C" w:rsidRDefault="0051238C" w:rsidP="00DE1A87">
      <w:pPr>
        <w:ind w:firstLine="0"/>
      </w:pPr>
    </w:p>
    <w:p w:rsidR="0051238C" w:rsidRDefault="0051238C" w:rsidP="00DE1A87">
      <w:pPr>
        <w:ind w:firstLine="0"/>
      </w:pPr>
    </w:p>
    <w:p w:rsidR="0051238C" w:rsidRDefault="00302029" w:rsidP="0051238C">
      <w:pPr>
        <w:ind w:firstLine="0"/>
        <w:jc w:val="center"/>
        <w:rPr>
          <w:rFonts w:ascii="Times New Roman" w:hAnsi="Times New Roman" w:cs="Times New Roman"/>
          <w:sz w:val="32"/>
          <w:szCs w:val="32"/>
        </w:rPr>
      </w:pPr>
      <w:r w:rsidRPr="0051238C">
        <w:rPr>
          <w:rFonts w:ascii="Times New Roman" w:hAnsi="Times New Roman" w:cs="Times New Roman"/>
          <w:sz w:val="32"/>
          <w:szCs w:val="32"/>
        </w:rPr>
        <w:t>LIT 499_01, Queer Theory</w:t>
      </w:r>
      <w:r w:rsidR="0051238C" w:rsidRPr="0051238C">
        <w:rPr>
          <w:rFonts w:ascii="Times New Roman" w:hAnsi="Times New Roman" w:cs="Times New Roman"/>
          <w:sz w:val="32"/>
          <w:szCs w:val="32"/>
        </w:rPr>
        <w:t xml:space="preserve"> in Bliss 135</w:t>
      </w:r>
    </w:p>
    <w:p w:rsidR="00573F83" w:rsidRDefault="00302029" w:rsidP="0051238C">
      <w:pPr>
        <w:ind w:firstLine="0"/>
        <w:rPr>
          <w:i/>
        </w:rPr>
      </w:pPr>
      <w:r>
        <w:br/>
      </w:r>
      <w:r>
        <w:br/>
      </w:r>
      <w:r w:rsidR="00DE1A87">
        <w:t xml:space="preserve">Judith </w:t>
      </w:r>
      <w:proofErr w:type="spellStart"/>
      <w:r w:rsidR="00DE1A87">
        <w:t>Halbertstam</w:t>
      </w:r>
      <w:proofErr w:type="spellEnd"/>
      <w:r w:rsidR="00DE1A87">
        <w:t xml:space="preserve">, </w:t>
      </w:r>
      <w:r w:rsidR="00DE1A87" w:rsidRPr="00B65598">
        <w:rPr>
          <w:i/>
        </w:rPr>
        <w:t>Queer Art of Failure</w:t>
      </w:r>
      <w:r w:rsidR="00DE1A87">
        <w:rPr>
          <w:i/>
        </w:rPr>
        <w:br/>
      </w:r>
      <w:r w:rsidR="00163B05">
        <w:t xml:space="preserve">Heather Love, </w:t>
      </w:r>
      <w:r w:rsidR="00163B05" w:rsidRPr="00975D83">
        <w:rPr>
          <w:i/>
        </w:rPr>
        <w:t>Feeling Backwards: Loss and the Politics of Queer History</w:t>
      </w:r>
      <w:r w:rsidR="00163B05">
        <w:br/>
      </w:r>
      <w:r w:rsidR="000A1773">
        <w:t xml:space="preserve">Dwight McBride, </w:t>
      </w:r>
      <w:r w:rsidR="000A1773" w:rsidRPr="00F032DF">
        <w:rPr>
          <w:i/>
        </w:rPr>
        <w:t>Why I Hate Abercrombie &amp; Fitch</w:t>
      </w:r>
      <w:r w:rsidR="00DE1A87">
        <w:rPr>
          <w:i/>
        </w:rPr>
        <w:br/>
      </w:r>
      <w:r w:rsidR="007F70E5">
        <w:t xml:space="preserve">Amy </w:t>
      </w:r>
      <w:proofErr w:type="spellStart"/>
      <w:r w:rsidR="007F70E5">
        <w:t>Villarejo</w:t>
      </w:r>
      <w:proofErr w:type="spellEnd"/>
      <w:r w:rsidR="007F70E5">
        <w:t xml:space="preserve">, </w:t>
      </w:r>
      <w:r w:rsidR="007F70E5">
        <w:rPr>
          <w:i/>
        </w:rPr>
        <w:t>Lesbian Rules: Cultural Criticism and the Value of Desire</w:t>
      </w:r>
    </w:p>
    <w:p w:rsidR="0051238C" w:rsidRDefault="0051238C" w:rsidP="0051238C">
      <w:pPr>
        <w:ind w:firstLine="0"/>
        <w:rPr>
          <w:i/>
        </w:rPr>
      </w:pPr>
    </w:p>
    <w:p w:rsidR="00A02A59" w:rsidRDefault="00E61FA5" w:rsidP="00912D64">
      <w:pPr>
        <w:ind w:firstLine="0"/>
      </w:pPr>
      <w:r>
        <w:t>Jan 18, Week One:</w:t>
      </w:r>
      <w:r w:rsidR="00EE58CB">
        <w:t xml:space="preserve"> </w:t>
      </w:r>
      <w:r w:rsidR="00514D2C">
        <w:t>First Class</w:t>
      </w:r>
      <w:r>
        <w:br/>
        <w:t>Jan 25, Week Two:</w:t>
      </w:r>
      <w:r w:rsidR="00EE58CB">
        <w:t xml:space="preserve"> Judith </w:t>
      </w:r>
      <w:proofErr w:type="spellStart"/>
      <w:r w:rsidR="00EE58CB">
        <w:t>Halbertstam</w:t>
      </w:r>
      <w:proofErr w:type="spellEnd"/>
      <w:r w:rsidR="00EE58CB">
        <w:t>, Chapter 1, “Animating Revolt and Revolting Animation”</w:t>
      </w:r>
      <w:r w:rsidR="00C909F3">
        <w:t xml:space="preserve"> and “Introduction”</w:t>
      </w:r>
      <w:r>
        <w:br/>
        <w:t>Feb 01, Week Three:</w:t>
      </w:r>
      <w:r w:rsidR="00EE58CB">
        <w:t xml:space="preserve">  </w:t>
      </w:r>
      <w:r w:rsidR="00C909F3">
        <w:t>Heather Love, “Introduction” and Chapter 1, “Emotional Rescue: The Demands of Queer History”</w:t>
      </w:r>
      <w:r>
        <w:br/>
        <w:t>Feb 08, Week Four:</w:t>
      </w:r>
      <w:r w:rsidR="00EE58CB">
        <w:t xml:space="preserve">  Dwight McBride, Chapter 2 “Why I Hate Abercrombie &amp; Fitch”</w:t>
      </w:r>
      <w:r w:rsidR="00C909F3">
        <w:t xml:space="preserve"> and “Introduction”</w:t>
      </w:r>
      <w:r>
        <w:br/>
      </w:r>
      <w:r w:rsidR="00F14FC8">
        <w:t xml:space="preserve">Feb </w:t>
      </w:r>
      <w:r>
        <w:t>15,</w:t>
      </w:r>
      <w:r w:rsidR="00F14FC8">
        <w:t xml:space="preserve"> Week Five:</w:t>
      </w:r>
      <w:r w:rsidR="00EE58CB">
        <w:t xml:space="preserve">  </w:t>
      </w:r>
      <w:r w:rsidR="00C909F3">
        <w:t xml:space="preserve">Amy </w:t>
      </w:r>
      <w:proofErr w:type="spellStart"/>
      <w:r w:rsidR="00C909F3">
        <w:t>Villarejo</w:t>
      </w:r>
      <w:proofErr w:type="spellEnd"/>
      <w:r w:rsidR="00C909F3">
        <w:t>, Chapter 2, “</w:t>
      </w:r>
      <w:proofErr w:type="spellStart"/>
      <w:r w:rsidR="00C909F3">
        <w:rPr>
          <w:i/>
        </w:rPr>
        <w:t>Droits</w:t>
      </w:r>
      <w:proofErr w:type="spellEnd"/>
      <w:r w:rsidR="00C909F3">
        <w:rPr>
          <w:i/>
        </w:rPr>
        <w:t xml:space="preserve"> de Regards” </w:t>
      </w:r>
      <w:r w:rsidR="00C909F3">
        <w:t>and “Introduction”</w:t>
      </w:r>
      <w:r>
        <w:br/>
      </w:r>
      <w:r w:rsidR="00F14FC8">
        <w:t xml:space="preserve">Feb </w:t>
      </w:r>
      <w:r>
        <w:t>22,</w:t>
      </w:r>
      <w:r w:rsidR="00F14FC8">
        <w:t xml:space="preserve"> Week Six:</w:t>
      </w:r>
      <w:r w:rsidR="00C909F3">
        <w:t xml:space="preserve">  Judith </w:t>
      </w:r>
      <w:proofErr w:type="spellStart"/>
      <w:r w:rsidR="00C909F3">
        <w:t>Halberstam</w:t>
      </w:r>
      <w:proofErr w:type="spellEnd"/>
      <w:r w:rsidR="00C909F3">
        <w:t>, Chapter 2, “Dude, Where’s My Phallus?” and Chapter 6, “Animating Failure”</w:t>
      </w:r>
      <w:r>
        <w:br/>
      </w:r>
      <w:r w:rsidR="00F14FC8">
        <w:t xml:space="preserve">Feb </w:t>
      </w:r>
      <w:r>
        <w:t>29,</w:t>
      </w:r>
      <w:r w:rsidR="00F14FC8">
        <w:t xml:space="preserve"> Week Seven:</w:t>
      </w:r>
      <w:r w:rsidR="00C909F3">
        <w:t xml:space="preserve">  Heather Love, Chapter 2, “Forced Exile: Walter Pater’s Backward Modernism”</w:t>
      </w:r>
      <w:r>
        <w:br/>
        <w:t>March 07, Spring Break</w:t>
      </w:r>
      <w:r w:rsidR="005408D6">
        <w:t xml:space="preserve"> * * * First Paper Due Between Feb 29-March 14 * * * </w:t>
      </w:r>
      <w:r>
        <w:br/>
      </w:r>
      <w:r w:rsidR="00F14FC8">
        <w:t xml:space="preserve">March </w:t>
      </w:r>
      <w:r>
        <w:t>14,</w:t>
      </w:r>
      <w:r w:rsidR="00F14FC8">
        <w:t xml:space="preserve"> Week Eight:</w:t>
      </w:r>
      <w:r w:rsidR="00C909F3">
        <w:t xml:space="preserve">  Dwight McBride, Chapter 1, “Straight Black Studies” and </w:t>
      </w:r>
      <w:r w:rsidR="003142BC">
        <w:t xml:space="preserve">Toni Morrison’s </w:t>
      </w:r>
      <w:r w:rsidR="003142BC">
        <w:rPr>
          <w:i/>
        </w:rPr>
        <w:t xml:space="preserve">Beloved </w:t>
      </w:r>
      <w:r w:rsidR="003142BC">
        <w:t>(pay particular attention to pp.--)</w:t>
      </w:r>
      <w:r>
        <w:br/>
      </w:r>
      <w:r w:rsidR="00F14FC8">
        <w:t xml:space="preserve">March </w:t>
      </w:r>
      <w:r>
        <w:t>21,</w:t>
      </w:r>
      <w:r w:rsidR="00F14FC8">
        <w:t xml:space="preserve"> Week Nine:</w:t>
      </w:r>
      <w:r w:rsidR="003142BC">
        <w:t xml:space="preserve">  Amy </w:t>
      </w:r>
      <w:proofErr w:type="spellStart"/>
      <w:r w:rsidR="003142BC">
        <w:t>Villarejo</w:t>
      </w:r>
      <w:proofErr w:type="spellEnd"/>
      <w:r w:rsidR="003142BC">
        <w:t>, Chapter 5, “Forbidden Love: Pulp as Lesbian History” and Chapter 1, “Lesbian Rule”</w:t>
      </w:r>
      <w:r>
        <w:br/>
      </w:r>
      <w:r w:rsidR="00F14FC8">
        <w:lastRenderedPageBreak/>
        <w:t xml:space="preserve">March </w:t>
      </w:r>
      <w:r>
        <w:t>28,</w:t>
      </w:r>
      <w:r w:rsidR="00F14FC8">
        <w:t xml:space="preserve"> Week Ten:</w:t>
      </w:r>
      <w:r w:rsidR="003142BC">
        <w:t xml:space="preserve">  Dwight McBride, Chapter 3, “It’s a White Man’s World” and Chapter 10, “Can the Queen Speak?”</w:t>
      </w:r>
      <w:r>
        <w:br/>
      </w:r>
      <w:r w:rsidR="00F14FC8">
        <w:t xml:space="preserve">April </w:t>
      </w:r>
      <w:r>
        <w:t>04,</w:t>
      </w:r>
      <w:r w:rsidR="00F14FC8">
        <w:t xml:space="preserve"> Week Eleven:</w:t>
      </w:r>
      <w:r w:rsidR="003142BC">
        <w:t xml:space="preserve">  Chapter 4, Judith </w:t>
      </w:r>
      <w:proofErr w:type="spellStart"/>
      <w:r w:rsidR="003142BC">
        <w:t>Halberstam</w:t>
      </w:r>
      <w:proofErr w:type="spellEnd"/>
      <w:r w:rsidR="003142BC">
        <w:t>, “Shadow Feminisms”</w:t>
      </w:r>
      <w:r>
        <w:br/>
      </w:r>
      <w:r w:rsidR="00F14FC8">
        <w:t xml:space="preserve">April </w:t>
      </w:r>
      <w:r>
        <w:t>11,</w:t>
      </w:r>
      <w:r w:rsidR="00F14FC8">
        <w:t xml:space="preserve"> Week Twelve:</w:t>
      </w:r>
      <w:r w:rsidR="003142BC">
        <w:t xml:space="preserve">  </w:t>
      </w:r>
      <w:r w:rsidR="005408D6">
        <w:t xml:space="preserve">Presentation of Work  </w:t>
      </w:r>
      <w:bookmarkStart w:id="0" w:name="_GoBack"/>
      <w:bookmarkEnd w:id="0"/>
      <w:r>
        <w:br/>
      </w:r>
      <w:r w:rsidR="00F14FC8">
        <w:t xml:space="preserve">April </w:t>
      </w:r>
      <w:r>
        <w:t>18,</w:t>
      </w:r>
      <w:r w:rsidR="00F14FC8">
        <w:t xml:space="preserve"> Week Thirteen:</w:t>
      </w:r>
      <w:r w:rsidR="005408D6">
        <w:t xml:space="preserve"> </w:t>
      </w:r>
      <w:r w:rsidR="005408D6">
        <w:t xml:space="preserve">Presentation of Work  </w:t>
      </w:r>
      <w:r>
        <w:br/>
      </w:r>
      <w:r w:rsidR="00F14FC8">
        <w:t xml:space="preserve">April </w:t>
      </w:r>
      <w:r>
        <w:t>25,</w:t>
      </w:r>
      <w:r w:rsidR="00F14FC8">
        <w:t xml:space="preserve"> Week Fourteen:</w:t>
      </w:r>
      <w:r w:rsidR="005408D6">
        <w:t xml:space="preserve"> Presentation of Work  * * * Exit Essay * * * </w:t>
      </w:r>
      <w:r>
        <w:br/>
      </w:r>
      <w:r w:rsidR="005408D6">
        <w:t>May 02, * * * Final Paper Due * * *</w:t>
      </w:r>
    </w:p>
    <w:p w:rsidR="00E61FA5" w:rsidRDefault="00A02A59" w:rsidP="00912D64">
      <w:pPr>
        <w:ind w:firstLine="0"/>
      </w:pPr>
      <w:r>
        <w:t>Assignments</w:t>
      </w:r>
      <w:proofErr w:type="gramStart"/>
      <w:r>
        <w:t>:</w:t>
      </w:r>
      <w:proofErr w:type="gramEnd"/>
      <w:r>
        <w:br/>
        <w:t>1) Annotated Bibliography:  You must build an annotated bibliography.  Each week you should add to that bibliography, providing remarks that not only summarize the text but also consider its application for your final paper.  30% of grade</w:t>
      </w:r>
      <w:r>
        <w:br/>
        <w:t>2) Exit Essay:  This essay must explain your involvement in and outside the class, taking into account your weekly research, your annotated bibliography, and what you have learned in and out of the class.  10% of grade</w:t>
      </w:r>
      <w:r>
        <w:br/>
        <w:t xml:space="preserve">3) Seed Paper:  This essay must begin the long project and needs to be a minimum of 2000 words.  </w:t>
      </w:r>
      <w:proofErr w:type="gramStart"/>
      <w:r>
        <w:t>30% of grade.</w:t>
      </w:r>
      <w:proofErr w:type="gramEnd"/>
      <w:r>
        <w:br/>
        <w:t>4) Final Paper: This essay may use all of the seed paper but must incorporate feedback given on the seed paper and further the research and the argument.  It must be a minimum of 3000 words.  30% of grade</w:t>
      </w:r>
      <w:r w:rsidR="00E61FA5">
        <w:br/>
      </w:r>
    </w:p>
    <w:p w:rsidR="00A02A59" w:rsidRDefault="00A02A59" w:rsidP="00A02A59">
      <w:r>
        <w:t>IMPORTANT NOTE ABOUT SUBMITTING AN ESSAY</w:t>
      </w:r>
      <w:proofErr w:type="gramStart"/>
      <w:r>
        <w:t>:</w:t>
      </w:r>
      <w:proofErr w:type="gramEnd"/>
      <w:r>
        <w:br/>
        <w:t>I will return all papers ungraded if any one of the following serious errors occur:</w:t>
      </w:r>
    </w:p>
    <w:p w:rsidR="00A02A59" w:rsidRDefault="00A02A59" w:rsidP="00A02A59">
      <w:pPr>
        <w:pStyle w:val="ListParagraph"/>
        <w:numPr>
          <w:ilvl w:val="0"/>
          <w:numId w:val="1"/>
        </w:numPr>
      </w:pPr>
      <w:r>
        <w:t>Every paper must have a title.</w:t>
      </w:r>
    </w:p>
    <w:p w:rsidR="00A02A59" w:rsidRDefault="00A02A59" w:rsidP="00A02A59">
      <w:pPr>
        <w:pStyle w:val="ListParagraph"/>
        <w:numPr>
          <w:ilvl w:val="0"/>
          <w:numId w:val="1"/>
        </w:numPr>
      </w:pPr>
      <w:r>
        <w:t>Every paper must be double spaced.</w:t>
      </w:r>
    </w:p>
    <w:p w:rsidR="00A02A59" w:rsidRDefault="00A02A59" w:rsidP="00A02A59">
      <w:pPr>
        <w:pStyle w:val="ListParagraph"/>
        <w:numPr>
          <w:ilvl w:val="0"/>
          <w:numId w:val="1"/>
        </w:numPr>
        <w:overflowPunct w:val="0"/>
      </w:pPr>
      <w:r>
        <w:t>Every paper must provide the following information in the upper-left corner:</w:t>
      </w:r>
    </w:p>
    <w:p w:rsidR="00A02A59" w:rsidRDefault="00A02A59" w:rsidP="00A02A59">
      <w:pPr>
        <w:pStyle w:val="ListParagraph"/>
        <w:overflowPunct w:val="0"/>
      </w:pPr>
      <w:proofErr w:type="spellStart"/>
      <w:r>
        <w:t>Juda</w:t>
      </w:r>
      <w:proofErr w:type="spellEnd"/>
      <w:r>
        <w:t xml:space="preserve"> Bennett, Course Title and Number, Your Name, Date, Word Count.  </w:t>
      </w:r>
    </w:p>
    <w:p w:rsidR="00A02A59" w:rsidRDefault="00A02A59" w:rsidP="00A02A59">
      <w:pPr>
        <w:pStyle w:val="ListParagraph"/>
        <w:numPr>
          <w:ilvl w:val="0"/>
          <w:numId w:val="1"/>
        </w:numPr>
      </w:pPr>
      <w:r>
        <w:t>Every paper must spell the text and author name correctly, and the text should either be in quotation marks (if it is a short work, like a short story) or in italics (if it is a long work, like a novel).  Consult MLA guidelines for other examples, such as for plays, movies, and other texts.</w:t>
      </w:r>
    </w:p>
    <w:p w:rsidR="00A02A59" w:rsidRDefault="00A02A59" w:rsidP="00A02A59">
      <w:pPr>
        <w:pStyle w:val="ListParagraph"/>
        <w:numPr>
          <w:ilvl w:val="0"/>
          <w:numId w:val="1"/>
        </w:numPr>
      </w:pPr>
      <w:r>
        <w:t>Every paper must quote texts according to the MLA guidelines.   I will accept occasional errors in the first essay, but will return papers that continue to show a disregard for form.</w:t>
      </w:r>
    </w:p>
    <w:p w:rsidR="00A02A59" w:rsidRDefault="00A02A59" w:rsidP="00A02A59">
      <w:pPr>
        <w:pStyle w:val="ListParagraph"/>
        <w:numPr>
          <w:ilvl w:val="0"/>
          <w:numId w:val="1"/>
        </w:numPr>
      </w:pPr>
      <w:r>
        <w:t>I must be able to open your SOCS posted document in Word.  If you are unsure about this, you may submit a paper copy as back up.</w:t>
      </w:r>
    </w:p>
    <w:p w:rsidR="00A02A59" w:rsidRDefault="00A02A59" w:rsidP="00A02A59">
      <w:r>
        <w:t>If I return your paper ungraded because of one of the above errors, I will accept a revision within 48 hours but it will receive a five point reduction on the grade.</w:t>
      </w:r>
    </w:p>
    <w:p w:rsidR="00A02A59" w:rsidRDefault="00A02A59" w:rsidP="00A02A59">
      <w:pPr>
        <w:overflowPunct w:val="0"/>
      </w:pPr>
      <w:r>
        <w:t>ESSAY GRADE:</w:t>
      </w:r>
    </w:p>
    <w:p w:rsidR="00A02A59" w:rsidRDefault="00A02A59" w:rsidP="00A02A59">
      <w:pPr>
        <w:overflowPunct w:val="0"/>
      </w:pPr>
      <w:r>
        <w:t>Papers will receive the following points for:</w:t>
      </w:r>
    </w:p>
    <w:p w:rsidR="00A02A59" w:rsidRDefault="00A02A59" w:rsidP="00A02A59">
      <w:pPr>
        <w:overflowPunct w:val="0"/>
      </w:pPr>
      <w:r>
        <w:lastRenderedPageBreak/>
        <w:t xml:space="preserve"> a) Technical Form (10 points):  Students should follow the guidelines for “Essay Format” as stated above.  They should also attend to proper form when quoting or providing citations.   </w:t>
      </w:r>
    </w:p>
    <w:p w:rsidR="00A02A59" w:rsidRDefault="00A02A59" w:rsidP="00A02A59">
      <w:pPr>
        <w:overflowPunct w:val="0"/>
      </w:pPr>
      <w:r>
        <w:t> (b) Writing Style (15 points): The successful paper will use proper grammar and spelling, but will also engage the reader by varying sentence length and structure, attending to diction and word choice, and employing active verbs and rich language.  Redundancies and undeveloped passages are both problems of organization and writing style.</w:t>
      </w:r>
    </w:p>
    <w:p w:rsidR="00A02A59" w:rsidRDefault="00A02A59" w:rsidP="00A02A59">
      <w:pPr>
        <w:overflowPunct w:val="0"/>
      </w:pPr>
      <w:r>
        <w:t xml:space="preserve"> (c) Organization (15 points): Essays must feel cohesive and planned.  Develop your ideas, and provide guide-posts to that development.  Organization is not simply a question of transitions.  Consider writing an outline.  Consider writing the introduction after you have written the rest of the paper. </w:t>
      </w:r>
    </w:p>
    <w:p w:rsidR="00A02A59" w:rsidRDefault="00A02A59" w:rsidP="00A02A59">
      <w:pPr>
        <w:overflowPunct w:val="0"/>
      </w:pPr>
      <w:r>
        <w:t xml:space="preserve"> (d) Content (60 points): If there are significant problems with the form, style, or organization of the paper, it may be difficult to fully appreciate the content of the argument.  It is your responsibility to successfully convey your best ideas with clarity.  You may, however, receive all 50 points if your ideas are strong and there is enough clarity to convey those ideas.  It is, however, difficult to receive even a passing grade if you do not have original ideas to convey.   </w:t>
      </w:r>
    </w:p>
    <w:p w:rsidR="00A02A59" w:rsidRDefault="00A02A59" w:rsidP="00A02A59">
      <w:pPr>
        <w:overflowPunct w:val="0"/>
      </w:pPr>
      <w:r>
        <w:t xml:space="preserve">  A Word of Caution: You may receive zero points in any of the above categories of evaluation if your work does not demonstrate basic care or ability.  You may, for example, write an essay that demonstrates technical skill and care on every page except the last page.  This may result in a grade of zero points for the technical aspect of the paper.  The paper, finally, must be graded as a whole.  This means that there are some mistakes that may overshadow a few strengths.  </w:t>
      </w:r>
    </w:p>
    <w:p w:rsidR="00A02A59" w:rsidRDefault="00A02A59" w:rsidP="00A02A59">
      <w:pPr>
        <w:pBdr>
          <w:top w:val="single" w:sz="6" w:space="1" w:color="auto"/>
          <w:bottom w:val="single" w:sz="6" w:space="1" w:color="auto"/>
        </w:pBdr>
        <w:overflowPunct w:val="0"/>
      </w:pPr>
      <w:r>
        <w:t>LATE PAPERS</w:t>
      </w:r>
      <w:r>
        <w:rPr>
          <w:b/>
        </w:rPr>
        <w:t>:</w:t>
      </w:r>
      <w:r>
        <w:t xml:space="preserve">  </w:t>
      </w:r>
      <w:r>
        <w:br/>
        <w:t>Do I accept them?  Not without giving them a penalty.  The other students have struggled to meet the due date, and they might have written better papers if they were given more time.  5 point reduction for the first 48 hours.  Please speak with me if you hope to submit the paper after a longer delay.</w:t>
      </w:r>
    </w:p>
    <w:p w:rsidR="00A02A59" w:rsidRDefault="00A02A59" w:rsidP="00A02A59">
      <w:pPr>
        <w:overflowPunct w:val="0"/>
      </w:pPr>
      <w:r>
        <w:t>Number Grades with Letter Grade Equivalent</w:t>
      </w:r>
    </w:p>
    <w:p w:rsidR="00A02A59" w:rsidRDefault="00A02A59" w:rsidP="00A02A59">
      <w:pPr>
        <w:pStyle w:val="NormalWeb"/>
      </w:pPr>
      <w:r>
        <w:t>93, 94, 95, 96= A</w:t>
      </w:r>
    </w:p>
    <w:p w:rsidR="00A02A59" w:rsidRDefault="00A02A59" w:rsidP="00A02A59">
      <w:pPr>
        <w:pStyle w:val="NormalWeb"/>
      </w:pPr>
      <w:r>
        <w:t>90, 91, 92= A-</w:t>
      </w:r>
    </w:p>
    <w:p w:rsidR="00A02A59" w:rsidRDefault="00A02A59" w:rsidP="00A02A59">
      <w:pPr>
        <w:pStyle w:val="NormalWeb"/>
      </w:pPr>
      <w:r>
        <w:t>87, 88, 89= B+</w:t>
      </w:r>
    </w:p>
    <w:p w:rsidR="00A02A59" w:rsidRDefault="00A02A59" w:rsidP="00A02A59">
      <w:pPr>
        <w:pStyle w:val="NormalWeb"/>
      </w:pPr>
      <w:r>
        <w:t>83, 84, 85, 86= B</w:t>
      </w:r>
    </w:p>
    <w:p w:rsidR="00A02A59" w:rsidRDefault="00A02A59" w:rsidP="00A02A59">
      <w:pPr>
        <w:pStyle w:val="NormalWeb"/>
      </w:pPr>
      <w:r>
        <w:t>80, 81, 82= B-</w:t>
      </w:r>
    </w:p>
    <w:p w:rsidR="00A02A59" w:rsidRDefault="00A02A59" w:rsidP="00A02A59">
      <w:pPr>
        <w:pStyle w:val="NormalWeb"/>
      </w:pPr>
      <w:r>
        <w:t>77, 78, 79= C+</w:t>
      </w:r>
    </w:p>
    <w:p w:rsidR="00A02A59" w:rsidRDefault="00A02A59" w:rsidP="00A02A59">
      <w:pPr>
        <w:pStyle w:val="NormalWeb"/>
      </w:pPr>
      <w:r>
        <w:lastRenderedPageBreak/>
        <w:t>73, 74, 75, 76= C</w:t>
      </w:r>
    </w:p>
    <w:p w:rsidR="00A02A59" w:rsidRDefault="00A02A59" w:rsidP="00A02A59">
      <w:pPr>
        <w:pStyle w:val="NormalWeb"/>
      </w:pPr>
      <w:r>
        <w:t>70, 71, 72= C-</w:t>
      </w:r>
    </w:p>
    <w:p w:rsidR="00A02A59" w:rsidRDefault="00A02A59" w:rsidP="00A02A59">
      <w:pPr>
        <w:overflowPunct w:val="0"/>
      </w:pPr>
    </w:p>
    <w:p w:rsidR="00A02A59" w:rsidRDefault="00A02A59" w:rsidP="00A02A59">
      <w:pPr>
        <w:pBdr>
          <w:bottom w:val="single" w:sz="6" w:space="1" w:color="auto"/>
        </w:pBdr>
        <w:rPr>
          <w:sz w:val="24"/>
          <w:szCs w:val="24"/>
        </w:rPr>
      </w:pPr>
      <w:r>
        <w:rPr>
          <w:sz w:val="24"/>
          <w:szCs w:val="24"/>
        </w:rPr>
        <w:t>Selected TCNJ Policies</w:t>
      </w:r>
    </w:p>
    <w:p w:rsidR="00A02A59" w:rsidRDefault="00A02A59" w:rsidP="00A02A59">
      <w:pPr>
        <w:spacing w:after="120"/>
        <w:rPr>
          <w:rFonts w:eastAsia="Times New Roman"/>
          <w:b/>
          <w:i/>
          <w:sz w:val="20"/>
          <w:szCs w:val="20"/>
        </w:rPr>
      </w:pPr>
      <w:r>
        <w:rPr>
          <w:rFonts w:eastAsia="Times New Roman"/>
          <w:b/>
          <w:sz w:val="20"/>
          <w:szCs w:val="20"/>
        </w:rPr>
        <w:t>Attendance</w:t>
      </w:r>
      <w:r>
        <w:rPr>
          <w:rFonts w:eastAsia="Times New Roman"/>
          <w:b/>
          <w:sz w:val="20"/>
          <w:szCs w:val="20"/>
        </w:rPr>
        <w:br/>
      </w:r>
      <w:proofErr w:type="gramStart"/>
      <w:r>
        <w:rPr>
          <w:rStyle w:val="Emphasis"/>
          <w:rFonts w:eastAsia="Times"/>
          <w:sz w:val="20"/>
          <w:szCs w:val="20"/>
        </w:rPr>
        <w:t>Every</w:t>
      </w:r>
      <w:proofErr w:type="gramEnd"/>
      <w:r>
        <w:rPr>
          <w:rStyle w:val="Emphasis"/>
          <w:rFonts w:eastAsia="Times"/>
          <w:sz w:val="20"/>
          <w:szCs w:val="20"/>
        </w:rPr>
        <w:t xml:space="preserve"> student is expected to participate in each of his/her courses through regular attendance at lecture and laboratory sessions. It is further expected that every student will be present, on time, and prepared to participate when scheduled class sessions begin. At the first class meeting of a semester, instructors are expected to distribute in writing the attendance policies which apply to their courses. While attendance itself is not used as a criterion for academic evaluations, grading is frequently based on participation in class discussion, laboratory work, performance, studio practice, field experience, or other activities which may take place during class sessions. If these areas for evaluation make class attendance essential, the student may be penalized for failure to perform satisfactorily in the required activities. Students who must miss classes due to participation in a field trip, athletic event, or other official college function should arrange with their instructors for such class absences well in advance. The Office of Academic Affairs will verify, upon request, the dates of and participation in such college functions. In every instance, however, the student has the responsibility to initiate arrangements for make-up work.</w:t>
      </w:r>
      <w:r>
        <w:rPr>
          <w:i/>
          <w:sz w:val="20"/>
          <w:szCs w:val="20"/>
        </w:rPr>
        <w:t xml:space="preserve"> </w:t>
      </w:r>
    </w:p>
    <w:p w:rsidR="00A02A59" w:rsidRDefault="00A02A59" w:rsidP="00A02A59">
      <w:pPr>
        <w:pStyle w:val="NormalWeb"/>
        <w:rPr>
          <w:rStyle w:val="Emphasis"/>
          <w:rFonts w:asciiTheme="minorHAnsi" w:eastAsia="Times" w:hAnsiTheme="minorHAnsi"/>
        </w:rPr>
      </w:pPr>
      <w:r>
        <w:rPr>
          <w:rStyle w:val="Emphasis"/>
          <w:rFonts w:asciiTheme="minorHAnsi" w:eastAsia="Times" w:hAnsiTheme="minorHAnsi"/>
          <w:sz w:val="20"/>
          <w:szCs w:val="20"/>
        </w:rPr>
        <w:t>Students are expected to attend class and complete assignments as scheduled, to avoid outside conflicts (if possible), and to enroll only in those classes that they can expect to attend on a regular basis. Absences from class are handled between students and instructors. The instructor may require documentation to substantiate the reason for the absence. The instructor should provide make-up opportunities for student absences caused by illness, injury, death in the family, observance of religious holidays, and similarly compelling personal reasons including physical disabilities. For lengthy absences, make-up opportunities might not be feasible and are at the discretion of the instructor. The Office of Academic Affairs will notify the faculty of the dates of religious holidays on which large numbers of students are likely to be absent and are, therefore, unsuitable for the scheduling of examinations. Students have the responsibility of notifying the instructors in advance of expected absences. In cases of absence for a week or more, students are to notify their instructors immediately. If they are unable to do so they may contact the Office of Records and Registration. The Office of Records and Registration will notify the instructor of the student’s absence. The notification is not an excuse but simply a service provided by the Office of Records and Registration. Notifications cannot be acted upon if received after an absence. In every instance the student has the responsibility to initiate arrangements for make-up work.</w:t>
      </w:r>
    </w:p>
    <w:p w:rsidR="00A02A59" w:rsidRDefault="00A02A59" w:rsidP="00A02A59">
      <w:pPr>
        <w:spacing w:after="120"/>
        <w:rPr>
          <w:rFonts w:eastAsiaTheme="minorEastAsia"/>
        </w:rPr>
      </w:pPr>
      <w:r>
        <w:rPr>
          <w:rFonts w:eastAsia="Times New Roman"/>
          <w:sz w:val="20"/>
          <w:szCs w:val="20"/>
        </w:rPr>
        <w:t xml:space="preserve">TCNJ’s attendance policy </w:t>
      </w:r>
      <w:r>
        <w:rPr>
          <w:rStyle w:val="Emphasis"/>
          <w:rFonts w:eastAsia="Times"/>
          <w:sz w:val="20"/>
          <w:szCs w:val="20"/>
        </w:rPr>
        <w:t xml:space="preserve">is available on the web: </w:t>
      </w:r>
      <w:hyperlink r:id="rId6" w:history="1">
        <w:r>
          <w:rPr>
            <w:rStyle w:val="Hyperlink"/>
            <w:sz w:val="20"/>
            <w:szCs w:val="20"/>
          </w:rPr>
          <w:t>http://www.tcnj.edu/~recreg/policies/attendance.html</w:t>
        </w:r>
      </w:hyperlink>
    </w:p>
    <w:p w:rsidR="00A02A59" w:rsidRDefault="00A02A59" w:rsidP="00A02A59">
      <w:pPr>
        <w:spacing w:after="120"/>
        <w:rPr>
          <w:rStyle w:val="Emphasis"/>
          <w:rFonts w:eastAsia="Times New Roman"/>
          <w:b/>
          <w:i w:val="0"/>
          <w:iCs w:val="0"/>
        </w:rPr>
      </w:pPr>
      <w:r>
        <w:rPr>
          <w:rFonts w:eastAsia="Times New Roman"/>
          <w:b/>
          <w:sz w:val="20"/>
          <w:szCs w:val="20"/>
        </w:rPr>
        <w:t>Academic Integrity Policy</w:t>
      </w:r>
      <w:r>
        <w:rPr>
          <w:rFonts w:eastAsia="Times New Roman"/>
          <w:b/>
          <w:sz w:val="20"/>
          <w:szCs w:val="20"/>
        </w:rPr>
        <w:br/>
      </w:r>
      <w:r>
        <w:rPr>
          <w:rStyle w:val="Emphasis"/>
          <w:rFonts w:eastAsia="Times"/>
          <w:sz w:val="20"/>
          <w:szCs w:val="20"/>
        </w:rPr>
        <w:t xml:space="preserve">Academic dishonesty is any attempt by the student to gain academic advantage through dishonest means, to submit, as his or </w:t>
      </w:r>
      <w:proofErr w:type="gramStart"/>
      <w:r>
        <w:rPr>
          <w:rStyle w:val="Emphasis"/>
          <w:rFonts w:eastAsia="Times"/>
          <w:sz w:val="20"/>
          <w:szCs w:val="20"/>
        </w:rPr>
        <w:t>her own</w:t>
      </w:r>
      <w:proofErr w:type="gramEnd"/>
      <w:r>
        <w:rPr>
          <w:rStyle w:val="Emphasis"/>
          <w:rFonts w:eastAsia="Times"/>
          <w:sz w:val="20"/>
          <w:szCs w:val="20"/>
        </w:rPr>
        <w:t xml:space="preserve">, work which has not been done by him/her or to give improper aid to another student in the completion of an assignment. Such dishonesty would include, but is not limited to: submitting as his/her own a project, paper, report, test, or speech copied from, partially copied, or paraphrased from the work of another (whether the source is printed, under copyright, or in manuscript form). Credit must be given for words quoted or </w:t>
      </w:r>
      <w:r>
        <w:rPr>
          <w:rStyle w:val="Emphasis"/>
          <w:rFonts w:eastAsia="Times"/>
          <w:sz w:val="20"/>
          <w:szCs w:val="20"/>
        </w:rPr>
        <w:lastRenderedPageBreak/>
        <w:t>paraphrased. The rules apply to any academic dishonesty, whether the work is graded or ungraded, group or individual, written or oral.</w:t>
      </w:r>
    </w:p>
    <w:p w:rsidR="00A02A59" w:rsidRDefault="00A02A59" w:rsidP="00A02A59">
      <w:pPr>
        <w:spacing w:after="120"/>
        <w:rPr>
          <w:rFonts w:eastAsiaTheme="minorEastAsia"/>
        </w:rPr>
      </w:pPr>
      <w:r>
        <w:rPr>
          <w:rFonts w:eastAsia="Times New Roman"/>
          <w:sz w:val="20"/>
          <w:szCs w:val="20"/>
        </w:rPr>
        <w:t xml:space="preserve">TCNJ’s academic integrity policy </w:t>
      </w:r>
      <w:r>
        <w:rPr>
          <w:rStyle w:val="Emphasis"/>
          <w:rFonts w:eastAsia="Times"/>
          <w:sz w:val="20"/>
          <w:szCs w:val="20"/>
        </w:rPr>
        <w:t>is available on the web:</w:t>
      </w:r>
      <w:r>
        <w:rPr>
          <w:rFonts w:eastAsia="Times New Roman"/>
          <w:sz w:val="20"/>
          <w:szCs w:val="20"/>
        </w:rPr>
        <w:t xml:space="preserve"> </w:t>
      </w:r>
      <w:hyperlink r:id="rId7" w:history="1">
        <w:r>
          <w:rPr>
            <w:rStyle w:val="Hyperlink"/>
            <w:sz w:val="20"/>
            <w:szCs w:val="20"/>
          </w:rPr>
          <w:t>http://www.tcnj.edu/~academic/policy/integrity.html</w:t>
        </w:r>
      </w:hyperlink>
      <w:r>
        <w:rPr>
          <w:rFonts w:eastAsia="Times New Roman"/>
          <w:sz w:val="20"/>
          <w:szCs w:val="20"/>
        </w:rPr>
        <w:t xml:space="preserve">. </w:t>
      </w:r>
    </w:p>
    <w:p w:rsidR="00A02A59" w:rsidRDefault="00A02A59" w:rsidP="00A02A59">
      <w:pPr>
        <w:pStyle w:val="NormalWeb"/>
        <w:rPr>
          <w:rStyle w:val="Strong"/>
          <w:rFonts w:asciiTheme="minorHAnsi" w:eastAsia="Times" w:hAnsiTheme="minorHAnsi"/>
          <w:bCs w:val="0"/>
          <w:iCs/>
        </w:rPr>
      </w:pPr>
      <w:r>
        <w:rPr>
          <w:rStyle w:val="Emphasis"/>
          <w:rFonts w:asciiTheme="minorHAnsi" w:eastAsia="Times" w:hAnsiTheme="minorHAnsi"/>
          <w:sz w:val="20"/>
          <w:szCs w:val="20"/>
        </w:rPr>
        <w:t>Americans with Disabilities Act (ADA) Policy</w:t>
      </w:r>
      <w:r>
        <w:rPr>
          <w:rFonts w:asciiTheme="minorHAnsi" w:eastAsia="Times" w:hAnsiTheme="minorHAnsi"/>
          <w:i/>
          <w:iCs/>
          <w:sz w:val="20"/>
          <w:szCs w:val="20"/>
        </w:rPr>
        <w:br/>
      </w:r>
      <w:r>
        <w:rPr>
          <w:rStyle w:val="Strong"/>
          <w:rFonts w:asciiTheme="minorHAnsi" w:hAnsiTheme="minorHAnsi"/>
          <w:sz w:val="20"/>
          <w:szCs w:val="20"/>
        </w:rPr>
        <w:t>Any student who has a documented disability and is in need of academic accommodations should notify the professor of this course and contact the Office of Differing Abilities Services (609-771-2571). Accommodations are individualized and in accordance with Section 504 of the Rehabilitation Act of 1973 and the Americans with Disabilities Act of 1992.</w:t>
      </w:r>
    </w:p>
    <w:p w:rsidR="00A02A59" w:rsidRDefault="00A02A59" w:rsidP="00A02A59">
      <w:pPr>
        <w:pStyle w:val="NormalWeb"/>
        <w:rPr>
          <w:rStyle w:val="Emphasis"/>
          <w:rFonts w:eastAsia="Times"/>
          <w:i w:val="0"/>
        </w:rPr>
      </w:pPr>
      <w:r>
        <w:rPr>
          <w:rStyle w:val="Emphasis"/>
          <w:rFonts w:asciiTheme="minorHAnsi" w:eastAsia="Times" w:hAnsiTheme="minorHAnsi"/>
          <w:sz w:val="20"/>
          <w:szCs w:val="20"/>
        </w:rPr>
        <w:t xml:space="preserve">TCNJ’s Americans with Disabilities Act (ADA) policy is available on the web: </w:t>
      </w:r>
      <w:hyperlink r:id="rId8" w:history="1">
        <w:r>
          <w:rPr>
            <w:rStyle w:val="Hyperlink"/>
            <w:rFonts w:asciiTheme="minorHAnsi" w:eastAsia="Times" w:hAnsiTheme="minorHAnsi"/>
            <w:sz w:val="20"/>
            <w:szCs w:val="20"/>
          </w:rPr>
          <w:t>http://differingabilities.pages.tcnj.edu/</w:t>
        </w:r>
      </w:hyperlink>
    </w:p>
    <w:p w:rsidR="00A02A59" w:rsidRDefault="00A02A59" w:rsidP="00A02A59">
      <w:pPr>
        <w:pBdr>
          <w:bottom w:val="single" w:sz="6" w:space="1" w:color="auto"/>
        </w:pBdr>
        <w:rPr>
          <w:rFonts w:eastAsia="Times New Roman"/>
          <w:b/>
        </w:rPr>
      </w:pPr>
      <w:r>
        <w:rPr>
          <w:rFonts w:eastAsia="Times New Roman"/>
          <w:b/>
          <w:sz w:val="20"/>
          <w:szCs w:val="20"/>
        </w:rPr>
        <w:t>Final Exam Policy</w:t>
      </w:r>
    </w:p>
    <w:p w:rsidR="00A02A59" w:rsidRDefault="00A02A59" w:rsidP="00A02A59">
      <w:pPr>
        <w:pBdr>
          <w:bottom w:val="single" w:sz="6" w:space="1" w:color="auto"/>
        </w:pBdr>
        <w:rPr>
          <w:rFonts w:eastAsiaTheme="minorEastAsia"/>
          <w:sz w:val="20"/>
          <w:szCs w:val="20"/>
        </w:rPr>
      </w:pPr>
      <w:r>
        <w:rPr>
          <w:rFonts w:eastAsia="Times New Roman"/>
          <w:sz w:val="20"/>
          <w:szCs w:val="20"/>
        </w:rPr>
        <w:t xml:space="preserve">TCNJ’s final examination policy is available on the web: </w:t>
      </w:r>
      <w:hyperlink r:id="rId9" w:history="1">
        <w:r>
          <w:rPr>
            <w:rStyle w:val="Hyperlink"/>
            <w:sz w:val="20"/>
            <w:szCs w:val="20"/>
          </w:rPr>
          <w:t>http://www.tcnj.edu/~academic/policy/finalevaluations.htm</w:t>
        </w:r>
      </w:hyperlink>
    </w:p>
    <w:p w:rsidR="00A02A59" w:rsidRDefault="00A02A59" w:rsidP="00A02A59">
      <w:pPr>
        <w:pBdr>
          <w:bottom w:val="single" w:sz="6" w:space="1" w:color="auto"/>
        </w:pBdr>
        <w:rPr>
          <w:sz w:val="20"/>
          <w:szCs w:val="20"/>
        </w:rPr>
      </w:pPr>
    </w:p>
    <w:p w:rsidR="00A02A59" w:rsidRDefault="00A02A59" w:rsidP="00A02A59">
      <w:pPr>
        <w:rPr>
          <w:b/>
          <w:sz w:val="24"/>
          <w:szCs w:val="24"/>
        </w:rPr>
      </w:pPr>
      <w:r>
        <w:rPr>
          <w:b/>
          <w:sz w:val="24"/>
          <w:szCs w:val="24"/>
        </w:rPr>
        <w:t xml:space="preserve">Resources:  </w:t>
      </w:r>
    </w:p>
    <w:p w:rsidR="00A02A59" w:rsidRDefault="00A02A59" w:rsidP="00A02A59">
      <w:pPr>
        <w:rPr>
          <w:sz w:val="20"/>
          <w:szCs w:val="20"/>
        </w:rPr>
      </w:pPr>
      <w:r>
        <w:rPr>
          <w:sz w:val="20"/>
          <w:szCs w:val="20"/>
        </w:rPr>
        <w:t xml:space="preserve">Tutoring Center: </w:t>
      </w:r>
      <w:hyperlink r:id="rId10" w:history="1">
        <w:r>
          <w:rPr>
            <w:rStyle w:val="Hyperlink"/>
            <w:sz w:val="20"/>
            <w:szCs w:val="20"/>
          </w:rPr>
          <w:t>http://www.tcnj.edu/~tutoring/</w:t>
        </w:r>
      </w:hyperlink>
    </w:p>
    <w:p w:rsidR="00A02A59" w:rsidRDefault="00A02A59" w:rsidP="00A02A59">
      <w:pPr>
        <w:rPr>
          <w:sz w:val="20"/>
          <w:szCs w:val="20"/>
        </w:rPr>
      </w:pPr>
      <w:r>
        <w:rPr>
          <w:sz w:val="20"/>
          <w:szCs w:val="20"/>
        </w:rPr>
        <w:t xml:space="preserve">Library:  </w:t>
      </w:r>
      <w:hyperlink r:id="rId11" w:history="1">
        <w:r>
          <w:rPr>
            <w:rStyle w:val="Hyperlink"/>
            <w:sz w:val="20"/>
            <w:szCs w:val="20"/>
          </w:rPr>
          <w:t>http://www.tcnj.edu/~library/</w:t>
        </w:r>
      </w:hyperlink>
    </w:p>
    <w:p w:rsidR="00A02A59" w:rsidRDefault="00A02A59" w:rsidP="00912D64">
      <w:pPr>
        <w:ind w:firstLine="0"/>
      </w:pPr>
    </w:p>
    <w:sectPr w:rsidR="00A02A59" w:rsidSect="00930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43E0E"/>
    <w:multiLevelType w:val="hybridMultilevel"/>
    <w:tmpl w:val="FC7CC4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E6F"/>
    <w:rsid w:val="00000600"/>
    <w:rsid w:val="00021CD0"/>
    <w:rsid w:val="0006697C"/>
    <w:rsid w:val="00094CBF"/>
    <w:rsid w:val="000A1773"/>
    <w:rsid w:val="000F0EF9"/>
    <w:rsid w:val="00101F8D"/>
    <w:rsid w:val="00163B05"/>
    <w:rsid w:val="00197BCA"/>
    <w:rsid w:val="001D4F52"/>
    <w:rsid w:val="00247F7F"/>
    <w:rsid w:val="00256759"/>
    <w:rsid w:val="00257AE3"/>
    <w:rsid w:val="00272E27"/>
    <w:rsid w:val="0028524F"/>
    <w:rsid w:val="00287C3A"/>
    <w:rsid w:val="00302029"/>
    <w:rsid w:val="003142BC"/>
    <w:rsid w:val="00322079"/>
    <w:rsid w:val="003448A9"/>
    <w:rsid w:val="00391E6F"/>
    <w:rsid w:val="003B7CAA"/>
    <w:rsid w:val="003D28BA"/>
    <w:rsid w:val="00473167"/>
    <w:rsid w:val="004A2FB5"/>
    <w:rsid w:val="004C0254"/>
    <w:rsid w:val="004D207D"/>
    <w:rsid w:val="0051238C"/>
    <w:rsid w:val="00514D2C"/>
    <w:rsid w:val="005408D6"/>
    <w:rsid w:val="005556EE"/>
    <w:rsid w:val="00561C11"/>
    <w:rsid w:val="00573F83"/>
    <w:rsid w:val="005C7028"/>
    <w:rsid w:val="005D207A"/>
    <w:rsid w:val="006070F6"/>
    <w:rsid w:val="0062153F"/>
    <w:rsid w:val="0065438E"/>
    <w:rsid w:val="00674ABD"/>
    <w:rsid w:val="00696C55"/>
    <w:rsid w:val="006E0F12"/>
    <w:rsid w:val="006E60E8"/>
    <w:rsid w:val="006E6284"/>
    <w:rsid w:val="00703BE5"/>
    <w:rsid w:val="007146DA"/>
    <w:rsid w:val="007A1E36"/>
    <w:rsid w:val="007D0D51"/>
    <w:rsid w:val="007F70E5"/>
    <w:rsid w:val="008140C6"/>
    <w:rsid w:val="0083059A"/>
    <w:rsid w:val="00852757"/>
    <w:rsid w:val="008801AD"/>
    <w:rsid w:val="008A258C"/>
    <w:rsid w:val="00912D64"/>
    <w:rsid w:val="0091558A"/>
    <w:rsid w:val="0093085F"/>
    <w:rsid w:val="00937DC3"/>
    <w:rsid w:val="00975D83"/>
    <w:rsid w:val="009C6651"/>
    <w:rsid w:val="009D348D"/>
    <w:rsid w:val="00A02A59"/>
    <w:rsid w:val="00A30998"/>
    <w:rsid w:val="00A9444F"/>
    <w:rsid w:val="00AB1AB3"/>
    <w:rsid w:val="00AF4CCD"/>
    <w:rsid w:val="00B512B7"/>
    <w:rsid w:val="00B65598"/>
    <w:rsid w:val="00BE7BEF"/>
    <w:rsid w:val="00C82CA8"/>
    <w:rsid w:val="00C909F3"/>
    <w:rsid w:val="00D0288E"/>
    <w:rsid w:val="00D10D10"/>
    <w:rsid w:val="00DD56AB"/>
    <w:rsid w:val="00DE1A87"/>
    <w:rsid w:val="00E42980"/>
    <w:rsid w:val="00E43BB4"/>
    <w:rsid w:val="00E441E7"/>
    <w:rsid w:val="00E5142F"/>
    <w:rsid w:val="00E61FA5"/>
    <w:rsid w:val="00E6470F"/>
    <w:rsid w:val="00EB4B98"/>
    <w:rsid w:val="00EE58CB"/>
    <w:rsid w:val="00F01FB6"/>
    <w:rsid w:val="00F032DF"/>
    <w:rsid w:val="00F14FC8"/>
    <w:rsid w:val="00F309BA"/>
    <w:rsid w:val="00F42B57"/>
    <w:rsid w:val="00F51A8D"/>
    <w:rsid w:val="00F658AB"/>
    <w:rsid w:val="00FD2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15" w:lineRule="atLeast"/>
        <w:ind w:firstLine="33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85F"/>
  </w:style>
  <w:style w:type="paragraph" w:styleId="Heading1">
    <w:name w:val="heading 1"/>
    <w:basedOn w:val="Normal"/>
    <w:link w:val="Heading1Char"/>
    <w:uiPriority w:val="9"/>
    <w:qFormat/>
    <w:rsid w:val="005D207A"/>
    <w:pPr>
      <w:spacing w:line="240" w:lineRule="auto"/>
      <w:ind w:firstLine="0"/>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07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D207A"/>
    <w:rPr>
      <w:rFonts w:ascii="Verdana" w:hAnsi="Verdana" w:hint="default"/>
      <w:color w:val="003399"/>
      <w:u w:val="single"/>
    </w:rPr>
  </w:style>
  <w:style w:type="character" w:customStyle="1" w:styleId="contributornametrigger">
    <w:name w:val="contributornametrigger"/>
    <w:basedOn w:val="DefaultParagraphFont"/>
    <w:rsid w:val="00937DC3"/>
  </w:style>
  <w:style w:type="paragraph" w:styleId="NormalWeb">
    <w:name w:val="Normal (Web)"/>
    <w:basedOn w:val="Normal"/>
    <w:uiPriority w:val="99"/>
    <w:semiHidden/>
    <w:unhideWhenUsed/>
    <w:rsid w:val="00A02A59"/>
    <w:pPr>
      <w:spacing w:line="240" w:lineRule="auto"/>
      <w:ind w:firstLine="0"/>
    </w:pPr>
    <w:rPr>
      <w:rFonts w:ascii="Times New Roman" w:eastAsia="Times New Roman" w:hAnsi="Times New Roman" w:cs="Times New Roman"/>
      <w:sz w:val="24"/>
      <w:szCs w:val="24"/>
    </w:rPr>
  </w:style>
  <w:style w:type="paragraph" w:styleId="ListParagraph">
    <w:name w:val="List Paragraph"/>
    <w:basedOn w:val="Normal"/>
    <w:uiPriority w:val="34"/>
    <w:qFormat/>
    <w:rsid w:val="00A02A59"/>
    <w:pPr>
      <w:spacing w:before="0" w:beforeAutospacing="0" w:after="200" w:afterAutospacing="0" w:line="276" w:lineRule="auto"/>
      <w:ind w:left="720" w:firstLine="0"/>
      <w:contextualSpacing/>
    </w:pPr>
    <w:rPr>
      <w:rFonts w:eastAsiaTheme="minorEastAsia"/>
    </w:rPr>
  </w:style>
  <w:style w:type="character" w:styleId="Emphasis">
    <w:name w:val="Emphasis"/>
    <w:basedOn w:val="DefaultParagraphFont"/>
    <w:uiPriority w:val="20"/>
    <w:qFormat/>
    <w:rsid w:val="00A02A59"/>
    <w:rPr>
      <w:i/>
      <w:iCs/>
    </w:rPr>
  </w:style>
  <w:style w:type="character" w:styleId="Strong">
    <w:name w:val="Strong"/>
    <w:basedOn w:val="DefaultParagraphFont"/>
    <w:uiPriority w:val="22"/>
    <w:qFormat/>
    <w:rsid w:val="00A02A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15" w:lineRule="atLeast"/>
        <w:ind w:firstLine="33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85F"/>
  </w:style>
  <w:style w:type="paragraph" w:styleId="Heading1">
    <w:name w:val="heading 1"/>
    <w:basedOn w:val="Normal"/>
    <w:link w:val="Heading1Char"/>
    <w:uiPriority w:val="9"/>
    <w:qFormat/>
    <w:rsid w:val="005D207A"/>
    <w:pPr>
      <w:spacing w:line="240" w:lineRule="auto"/>
      <w:ind w:firstLine="0"/>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07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D207A"/>
    <w:rPr>
      <w:rFonts w:ascii="Verdana" w:hAnsi="Verdana" w:hint="default"/>
      <w:color w:val="003399"/>
      <w:u w:val="single"/>
    </w:rPr>
  </w:style>
  <w:style w:type="character" w:customStyle="1" w:styleId="contributornametrigger">
    <w:name w:val="contributornametrigger"/>
    <w:basedOn w:val="DefaultParagraphFont"/>
    <w:rsid w:val="00937DC3"/>
  </w:style>
  <w:style w:type="paragraph" w:styleId="NormalWeb">
    <w:name w:val="Normal (Web)"/>
    <w:basedOn w:val="Normal"/>
    <w:uiPriority w:val="99"/>
    <w:semiHidden/>
    <w:unhideWhenUsed/>
    <w:rsid w:val="00A02A59"/>
    <w:pPr>
      <w:spacing w:line="240" w:lineRule="auto"/>
      <w:ind w:firstLine="0"/>
    </w:pPr>
    <w:rPr>
      <w:rFonts w:ascii="Times New Roman" w:eastAsia="Times New Roman" w:hAnsi="Times New Roman" w:cs="Times New Roman"/>
      <w:sz w:val="24"/>
      <w:szCs w:val="24"/>
    </w:rPr>
  </w:style>
  <w:style w:type="paragraph" w:styleId="ListParagraph">
    <w:name w:val="List Paragraph"/>
    <w:basedOn w:val="Normal"/>
    <w:uiPriority w:val="34"/>
    <w:qFormat/>
    <w:rsid w:val="00A02A59"/>
    <w:pPr>
      <w:spacing w:before="0" w:beforeAutospacing="0" w:after="200" w:afterAutospacing="0" w:line="276" w:lineRule="auto"/>
      <w:ind w:left="720" w:firstLine="0"/>
      <w:contextualSpacing/>
    </w:pPr>
    <w:rPr>
      <w:rFonts w:eastAsiaTheme="minorEastAsia"/>
    </w:rPr>
  </w:style>
  <w:style w:type="character" w:styleId="Emphasis">
    <w:name w:val="Emphasis"/>
    <w:basedOn w:val="DefaultParagraphFont"/>
    <w:uiPriority w:val="20"/>
    <w:qFormat/>
    <w:rsid w:val="00A02A59"/>
    <w:rPr>
      <w:i/>
      <w:iCs/>
    </w:rPr>
  </w:style>
  <w:style w:type="character" w:styleId="Strong">
    <w:name w:val="Strong"/>
    <w:basedOn w:val="DefaultParagraphFont"/>
    <w:uiPriority w:val="22"/>
    <w:qFormat/>
    <w:rsid w:val="00A02A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8071">
      <w:bodyDiv w:val="1"/>
      <w:marLeft w:val="0"/>
      <w:marRight w:val="0"/>
      <w:marTop w:val="0"/>
      <w:marBottom w:val="0"/>
      <w:divBdr>
        <w:top w:val="none" w:sz="0" w:space="0" w:color="auto"/>
        <w:left w:val="none" w:sz="0" w:space="0" w:color="auto"/>
        <w:bottom w:val="none" w:sz="0" w:space="0" w:color="auto"/>
        <w:right w:val="none" w:sz="0" w:space="0" w:color="auto"/>
      </w:divBdr>
      <w:divsChild>
        <w:div w:id="555090150">
          <w:marLeft w:val="0"/>
          <w:marRight w:val="0"/>
          <w:marTop w:val="0"/>
          <w:marBottom w:val="0"/>
          <w:divBdr>
            <w:top w:val="none" w:sz="0" w:space="0" w:color="auto"/>
            <w:left w:val="none" w:sz="0" w:space="0" w:color="auto"/>
            <w:bottom w:val="none" w:sz="0" w:space="0" w:color="auto"/>
            <w:right w:val="none" w:sz="0" w:space="0" w:color="auto"/>
          </w:divBdr>
          <w:divsChild>
            <w:div w:id="21162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6086">
      <w:bodyDiv w:val="1"/>
      <w:marLeft w:val="0"/>
      <w:marRight w:val="0"/>
      <w:marTop w:val="0"/>
      <w:marBottom w:val="0"/>
      <w:divBdr>
        <w:top w:val="none" w:sz="0" w:space="0" w:color="auto"/>
        <w:left w:val="none" w:sz="0" w:space="0" w:color="auto"/>
        <w:bottom w:val="none" w:sz="0" w:space="0" w:color="auto"/>
        <w:right w:val="none" w:sz="0" w:space="0" w:color="auto"/>
      </w:divBdr>
      <w:divsChild>
        <w:div w:id="1857041869">
          <w:marLeft w:val="0"/>
          <w:marRight w:val="0"/>
          <w:marTop w:val="0"/>
          <w:marBottom w:val="0"/>
          <w:divBdr>
            <w:top w:val="none" w:sz="0" w:space="0" w:color="auto"/>
            <w:left w:val="none" w:sz="0" w:space="0" w:color="auto"/>
            <w:bottom w:val="none" w:sz="0" w:space="0" w:color="auto"/>
            <w:right w:val="none" w:sz="0" w:space="0" w:color="auto"/>
          </w:divBdr>
          <w:divsChild>
            <w:div w:id="4055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2383">
      <w:bodyDiv w:val="1"/>
      <w:marLeft w:val="0"/>
      <w:marRight w:val="0"/>
      <w:marTop w:val="0"/>
      <w:marBottom w:val="0"/>
      <w:divBdr>
        <w:top w:val="none" w:sz="0" w:space="0" w:color="auto"/>
        <w:left w:val="none" w:sz="0" w:space="0" w:color="auto"/>
        <w:bottom w:val="none" w:sz="0" w:space="0" w:color="auto"/>
        <w:right w:val="none" w:sz="0" w:space="0" w:color="auto"/>
      </w:divBdr>
      <w:divsChild>
        <w:div w:id="493224107">
          <w:marLeft w:val="0"/>
          <w:marRight w:val="0"/>
          <w:marTop w:val="0"/>
          <w:marBottom w:val="0"/>
          <w:divBdr>
            <w:top w:val="none" w:sz="0" w:space="0" w:color="auto"/>
            <w:left w:val="none" w:sz="0" w:space="0" w:color="auto"/>
            <w:bottom w:val="none" w:sz="0" w:space="0" w:color="auto"/>
            <w:right w:val="none" w:sz="0" w:space="0" w:color="auto"/>
          </w:divBdr>
          <w:divsChild>
            <w:div w:id="99726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5655">
      <w:bodyDiv w:val="1"/>
      <w:marLeft w:val="0"/>
      <w:marRight w:val="0"/>
      <w:marTop w:val="0"/>
      <w:marBottom w:val="0"/>
      <w:divBdr>
        <w:top w:val="none" w:sz="0" w:space="0" w:color="auto"/>
        <w:left w:val="none" w:sz="0" w:space="0" w:color="auto"/>
        <w:bottom w:val="none" w:sz="0" w:space="0" w:color="auto"/>
        <w:right w:val="none" w:sz="0" w:space="0" w:color="auto"/>
      </w:divBdr>
    </w:div>
    <w:div w:id="1113285830">
      <w:bodyDiv w:val="1"/>
      <w:marLeft w:val="0"/>
      <w:marRight w:val="0"/>
      <w:marTop w:val="0"/>
      <w:marBottom w:val="0"/>
      <w:divBdr>
        <w:top w:val="none" w:sz="0" w:space="0" w:color="auto"/>
        <w:left w:val="none" w:sz="0" w:space="0" w:color="auto"/>
        <w:bottom w:val="none" w:sz="0" w:space="0" w:color="auto"/>
        <w:right w:val="none" w:sz="0" w:space="0" w:color="auto"/>
      </w:divBdr>
      <w:divsChild>
        <w:div w:id="556358040">
          <w:marLeft w:val="0"/>
          <w:marRight w:val="0"/>
          <w:marTop w:val="0"/>
          <w:marBottom w:val="0"/>
          <w:divBdr>
            <w:top w:val="none" w:sz="0" w:space="0" w:color="auto"/>
            <w:left w:val="none" w:sz="0" w:space="0" w:color="auto"/>
            <w:bottom w:val="none" w:sz="0" w:space="0" w:color="auto"/>
            <w:right w:val="none" w:sz="0" w:space="0" w:color="auto"/>
          </w:divBdr>
          <w:divsChild>
            <w:div w:id="17624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30170">
      <w:bodyDiv w:val="1"/>
      <w:marLeft w:val="0"/>
      <w:marRight w:val="0"/>
      <w:marTop w:val="0"/>
      <w:marBottom w:val="0"/>
      <w:divBdr>
        <w:top w:val="none" w:sz="0" w:space="0" w:color="auto"/>
        <w:left w:val="none" w:sz="0" w:space="0" w:color="auto"/>
        <w:bottom w:val="none" w:sz="0" w:space="0" w:color="auto"/>
        <w:right w:val="none" w:sz="0" w:space="0" w:color="auto"/>
      </w:divBdr>
      <w:divsChild>
        <w:div w:id="8608604">
          <w:marLeft w:val="0"/>
          <w:marRight w:val="0"/>
          <w:marTop w:val="0"/>
          <w:marBottom w:val="0"/>
          <w:divBdr>
            <w:top w:val="none" w:sz="0" w:space="0" w:color="auto"/>
            <w:left w:val="none" w:sz="0" w:space="0" w:color="auto"/>
            <w:bottom w:val="none" w:sz="0" w:space="0" w:color="auto"/>
            <w:right w:val="none" w:sz="0" w:space="0" w:color="auto"/>
          </w:divBdr>
          <w:divsChild>
            <w:div w:id="1654286246">
              <w:marLeft w:val="0"/>
              <w:marRight w:val="0"/>
              <w:marTop w:val="0"/>
              <w:marBottom w:val="0"/>
              <w:divBdr>
                <w:top w:val="none" w:sz="0" w:space="0" w:color="auto"/>
                <w:left w:val="none" w:sz="0" w:space="0" w:color="auto"/>
                <w:bottom w:val="none" w:sz="0" w:space="0" w:color="auto"/>
                <w:right w:val="none" w:sz="0" w:space="0" w:color="auto"/>
              </w:divBdr>
              <w:divsChild>
                <w:div w:id="630132599">
                  <w:marLeft w:val="0"/>
                  <w:marRight w:val="0"/>
                  <w:marTop w:val="0"/>
                  <w:marBottom w:val="0"/>
                  <w:divBdr>
                    <w:top w:val="none" w:sz="0" w:space="0" w:color="auto"/>
                    <w:left w:val="none" w:sz="0" w:space="0" w:color="auto"/>
                    <w:bottom w:val="none" w:sz="0" w:space="0" w:color="auto"/>
                    <w:right w:val="none" w:sz="0" w:space="0" w:color="auto"/>
                  </w:divBdr>
                  <w:divsChild>
                    <w:div w:id="542668536">
                      <w:marLeft w:val="0"/>
                      <w:marRight w:val="0"/>
                      <w:marTop w:val="0"/>
                      <w:marBottom w:val="0"/>
                      <w:divBdr>
                        <w:top w:val="none" w:sz="0" w:space="0" w:color="auto"/>
                        <w:left w:val="none" w:sz="0" w:space="0" w:color="auto"/>
                        <w:bottom w:val="none" w:sz="0" w:space="0" w:color="auto"/>
                        <w:right w:val="none" w:sz="0" w:space="0" w:color="auto"/>
                      </w:divBdr>
                      <w:divsChild>
                        <w:div w:id="365838042">
                          <w:marLeft w:val="0"/>
                          <w:marRight w:val="0"/>
                          <w:marTop w:val="0"/>
                          <w:marBottom w:val="0"/>
                          <w:divBdr>
                            <w:top w:val="none" w:sz="0" w:space="0" w:color="auto"/>
                            <w:left w:val="none" w:sz="0" w:space="0" w:color="auto"/>
                            <w:bottom w:val="none" w:sz="0" w:space="0" w:color="auto"/>
                            <w:right w:val="none" w:sz="0" w:space="0" w:color="auto"/>
                          </w:divBdr>
                        </w:div>
                        <w:div w:id="1545142539">
                          <w:marLeft w:val="0"/>
                          <w:marRight w:val="0"/>
                          <w:marTop w:val="0"/>
                          <w:marBottom w:val="0"/>
                          <w:divBdr>
                            <w:top w:val="none" w:sz="0" w:space="0" w:color="auto"/>
                            <w:left w:val="none" w:sz="0" w:space="0" w:color="auto"/>
                            <w:bottom w:val="none" w:sz="0" w:space="0" w:color="auto"/>
                            <w:right w:val="none" w:sz="0" w:space="0" w:color="auto"/>
                          </w:divBdr>
                        </w:div>
                        <w:div w:id="422650754">
                          <w:marLeft w:val="240"/>
                          <w:marRight w:val="0"/>
                          <w:marTop w:val="15"/>
                          <w:marBottom w:val="0"/>
                          <w:divBdr>
                            <w:top w:val="none" w:sz="0" w:space="0" w:color="auto"/>
                            <w:left w:val="none" w:sz="0" w:space="0" w:color="auto"/>
                            <w:bottom w:val="none" w:sz="0" w:space="0" w:color="auto"/>
                            <w:right w:val="none" w:sz="0" w:space="0" w:color="auto"/>
                          </w:divBdr>
                        </w:div>
                        <w:div w:id="994528350">
                          <w:marLeft w:val="0"/>
                          <w:marRight w:val="0"/>
                          <w:marTop w:val="150"/>
                          <w:marBottom w:val="0"/>
                          <w:divBdr>
                            <w:top w:val="none" w:sz="0" w:space="0" w:color="auto"/>
                            <w:left w:val="none" w:sz="0" w:space="0" w:color="auto"/>
                            <w:bottom w:val="none" w:sz="0" w:space="0" w:color="auto"/>
                            <w:right w:val="none" w:sz="0" w:space="0" w:color="auto"/>
                          </w:divBdr>
                        </w:div>
                        <w:div w:id="157732181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147733">
      <w:bodyDiv w:val="1"/>
      <w:marLeft w:val="0"/>
      <w:marRight w:val="0"/>
      <w:marTop w:val="0"/>
      <w:marBottom w:val="0"/>
      <w:divBdr>
        <w:top w:val="none" w:sz="0" w:space="0" w:color="auto"/>
        <w:left w:val="none" w:sz="0" w:space="0" w:color="auto"/>
        <w:bottom w:val="none" w:sz="0" w:space="0" w:color="auto"/>
        <w:right w:val="none" w:sz="0" w:space="0" w:color="auto"/>
      </w:divBdr>
      <w:divsChild>
        <w:div w:id="644164133">
          <w:marLeft w:val="0"/>
          <w:marRight w:val="0"/>
          <w:marTop w:val="0"/>
          <w:marBottom w:val="0"/>
          <w:divBdr>
            <w:top w:val="none" w:sz="0" w:space="0" w:color="auto"/>
            <w:left w:val="none" w:sz="0" w:space="0" w:color="auto"/>
            <w:bottom w:val="none" w:sz="0" w:space="0" w:color="auto"/>
            <w:right w:val="none" w:sz="0" w:space="0" w:color="auto"/>
          </w:divBdr>
          <w:divsChild>
            <w:div w:id="114940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5446">
      <w:bodyDiv w:val="1"/>
      <w:marLeft w:val="0"/>
      <w:marRight w:val="0"/>
      <w:marTop w:val="0"/>
      <w:marBottom w:val="0"/>
      <w:divBdr>
        <w:top w:val="none" w:sz="0" w:space="0" w:color="auto"/>
        <w:left w:val="none" w:sz="0" w:space="0" w:color="auto"/>
        <w:bottom w:val="none" w:sz="0" w:space="0" w:color="auto"/>
        <w:right w:val="none" w:sz="0" w:space="0" w:color="auto"/>
      </w:divBdr>
      <w:divsChild>
        <w:div w:id="111902622">
          <w:marLeft w:val="0"/>
          <w:marRight w:val="0"/>
          <w:marTop w:val="0"/>
          <w:marBottom w:val="0"/>
          <w:divBdr>
            <w:top w:val="none" w:sz="0" w:space="0" w:color="auto"/>
            <w:left w:val="none" w:sz="0" w:space="0" w:color="auto"/>
            <w:bottom w:val="none" w:sz="0" w:space="0" w:color="auto"/>
            <w:right w:val="none" w:sz="0" w:space="0" w:color="auto"/>
          </w:divBdr>
          <w:divsChild>
            <w:div w:id="1559315684">
              <w:marLeft w:val="0"/>
              <w:marRight w:val="0"/>
              <w:marTop w:val="0"/>
              <w:marBottom w:val="0"/>
              <w:divBdr>
                <w:top w:val="none" w:sz="0" w:space="0" w:color="auto"/>
                <w:left w:val="none" w:sz="0" w:space="0" w:color="auto"/>
                <w:bottom w:val="none" w:sz="0" w:space="0" w:color="auto"/>
                <w:right w:val="none" w:sz="0" w:space="0" w:color="auto"/>
              </w:divBdr>
              <w:divsChild>
                <w:div w:id="824400678">
                  <w:marLeft w:val="0"/>
                  <w:marRight w:val="0"/>
                  <w:marTop w:val="0"/>
                  <w:marBottom w:val="0"/>
                  <w:divBdr>
                    <w:top w:val="none" w:sz="0" w:space="0" w:color="auto"/>
                    <w:left w:val="none" w:sz="0" w:space="0" w:color="auto"/>
                    <w:bottom w:val="none" w:sz="0" w:space="0" w:color="auto"/>
                    <w:right w:val="none" w:sz="0" w:space="0" w:color="auto"/>
                  </w:divBdr>
                  <w:divsChild>
                    <w:div w:id="2140759292">
                      <w:marLeft w:val="0"/>
                      <w:marRight w:val="0"/>
                      <w:marTop w:val="0"/>
                      <w:marBottom w:val="0"/>
                      <w:divBdr>
                        <w:top w:val="none" w:sz="0" w:space="0" w:color="auto"/>
                        <w:left w:val="none" w:sz="0" w:space="0" w:color="auto"/>
                        <w:bottom w:val="none" w:sz="0" w:space="0" w:color="auto"/>
                        <w:right w:val="none" w:sz="0" w:space="0" w:color="auto"/>
                      </w:divBdr>
                      <w:divsChild>
                        <w:div w:id="1645545096">
                          <w:marLeft w:val="0"/>
                          <w:marRight w:val="0"/>
                          <w:marTop w:val="0"/>
                          <w:marBottom w:val="0"/>
                          <w:divBdr>
                            <w:top w:val="none" w:sz="0" w:space="0" w:color="auto"/>
                            <w:left w:val="none" w:sz="0" w:space="0" w:color="auto"/>
                            <w:bottom w:val="none" w:sz="0" w:space="0" w:color="auto"/>
                            <w:right w:val="none" w:sz="0" w:space="0" w:color="auto"/>
                          </w:divBdr>
                        </w:div>
                        <w:div w:id="743602439">
                          <w:marLeft w:val="0"/>
                          <w:marRight w:val="0"/>
                          <w:marTop w:val="0"/>
                          <w:marBottom w:val="0"/>
                          <w:divBdr>
                            <w:top w:val="none" w:sz="0" w:space="0" w:color="auto"/>
                            <w:left w:val="none" w:sz="0" w:space="0" w:color="auto"/>
                            <w:bottom w:val="none" w:sz="0" w:space="0" w:color="auto"/>
                            <w:right w:val="none" w:sz="0" w:space="0" w:color="auto"/>
                          </w:divBdr>
                        </w:div>
                        <w:div w:id="785277431">
                          <w:marLeft w:val="240"/>
                          <w:marRight w:val="0"/>
                          <w:marTop w:val="15"/>
                          <w:marBottom w:val="0"/>
                          <w:divBdr>
                            <w:top w:val="none" w:sz="0" w:space="0" w:color="auto"/>
                            <w:left w:val="none" w:sz="0" w:space="0" w:color="auto"/>
                            <w:bottom w:val="none" w:sz="0" w:space="0" w:color="auto"/>
                            <w:right w:val="none" w:sz="0" w:space="0" w:color="auto"/>
                          </w:divBdr>
                        </w:div>
                        <w:div w:id="1391732133">
                          <w:marLeft w:val="0"/>
                          <w:marRight w:val="0"/>
                          <w:marTop w:val="150"/>
                          <w:marBottom w:val="0"/>
                          <w:divBdr>
                            <w:top w:val="none" w:sz="0" w:space="0" w:color="auto"/>
                            <w:left w:val="none" w:sz="0" w:space="0" w:color="auto"/>
                            <w:bottom w:val="none" w:sz="0" w:space="0" w:color="auto"/>
                            <w:right w:val="none" w:sz="0" w:space="0" w:color="auto"/>
                          </w:divBdr>
                        </w:div>
                        <w:div w:id="74299045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fferingabilities.pages.tcnj.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tcnj.edu/~academic/policy/integrity.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cnj.edu/~recreg/policies/attendance.html" TargetMode="External"/><Relationship Id="rId11" Type="http://schemas.openxmlformats.org/officeDocument/2006/relationships/hyperlink" Target="http://www.tcnj.edu/~library/" TargetMode="External"/><Relationship Id="rId5" Type="http://schemas.openxmlformats.org/officeDocument/2006/relationships/webSettings" Target="webSettings.xml"/><Relationship Id="rId10" Type="http://schemas.openxmlformats.org/officeDocument/2006/relationships/hyperlink" Target="http://www.tcnj.edu/~tutoring/" TargetMode="External"/><Relationship Id="rId4" Type="http://schemas.openxmlformats.org/officeDocument/2006/relationships/settings" Target="settings.xml"/><Relationship Id="rId9" Type="http://schemas.openxmlformats.org/officeDocument/2006/relationships/hyperlink" Target="http://www.tcnj.edu/%7Eacademic/policy/finalevalua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Juda</dc:creator>
  <cp:lastModifiedBy>The College of New Jersey</cp:lastModifiedBy>
  <cp:revision>2</cp:revision>
  <dcterms:created xsi:type="dcterms:W3CDTF">2012-02-20T12:49:00Z</dcterms:created>
  <dcterms:modified xsi:type="dcterms:W3CDTF">2012-02-20T12:49:00Z</dcterms:modified>
</cp:coreProperties>
</file>