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2C3" w:rsidRPr="00CA57FC" w:rsidRDefault="000C106D" w:rsidP="00E422C3">
      <w:pPr>
        <w:pBdr>
          <w:bottom w:val="single" w:sz="6" w:space="1" w:color="auto"/>
        </w:pBdr>
        <w:rPr>
          <w:rFonts w:eastAsia="Calibri" w:cs="Times New Roman"/>
          <w:sz w:val="16"/>
          <w:szCs w:val="16"/>
        </w:rPr>
      </w:pPr>
      <w:r w:rsidRPr="00CA57FC">
        <w:br/>
      </w:r>
      <w:r w:rsidR="00E422C3" w:rsidRPr="00CA57FC">
        <w:rPr>
          <w:rFonts w:eastAsia="Calibri" w:cs="Times New Roman"/>
          <w:sz w:val="16"/>
          <w:szCs w:val="16"/>
        </w:rPr>
        <w:t>COURSE SCHEDULE:  The schedule of readings and assignments (provided below) may change to accommodate class needs or the weather.  I will try to give advanced notice in class or through e-mail in the event of any needed changes, and I will revise the syllabus as soon as possible.</w:t>
      </w:r>
    </w:p>
    <w:p w:rsidR="00E422C3" w:rsidRPr="00CA57FC" w:rsidRDefault="00E422C3" w:rsidP="00E422C3">
      <w:pPr>
        <w:rPr>
          <w:rFonts w:eastAsia="Calibri" w:cs="Times New Roman"/>
        </w:rPr>
      </w:pPr>
      <w:r w:rsidRPr="00CA57FC">
        <w:t>Spring 2011</w:t>
      </w:r>
    </w:p>
    <w:p w:rsidR="00E422C3" w:rsidRPr="00CA57FC" w:rsidRDefault="00E422C3" w:rsidP="00E422C3">
      <w:pPr>
        <w:rPr>
          <w:rFonts w:eastAsia="Calibri" w:cs="Times New Roman"/>
        </w:rPr>
      </w:pPr>
      <w:proofErr w:type="spellStart"/>
      <w:r w:rsidRPr="00CA57FC">
        <w:rPr>
          <w:rFonts w:eastAsia="Calibri" w:cs="Times New Roman"/>
        </w:rPr>
        <w:t>Juda</w:t>
      </w:r>
      <w:proofErr w:type="spellEnd"/>
      <w:r w:rsidRPr="00CA57FC">
        <w:rPr>
          <w:rFonts w:eastAsia="Calibri" w:cs="Times New Roman"/>
        </w:rPr>
        <w:t xml:space="preserve"> </w:t>
      </w:r>
      <w:r w:rsidRPr="00CA57FC">
        <w:t xml:space="preserve">Charles </w:t>
      </w:r>
      <w:r w:rsidRPr="00CA57FC">
        <w:rPr>
          <w:rFonts w:eastAsia="Calibri" w:cs="Times New Roman"/>
        </w:rPr>
        <w:t>Bennett</w:t>
      </w:r>
    </w:p>
    <w:p w:rsidR="00E422C3" w:rsidRPr="00CA57FC" w:rsidRDefault="00D35EED" w:rsidP="00E422C3">
      <w:pPr>
        <w:rPr>
          <w:rFonts w:eastAsia="Calibri" w:cs="Times New Roman"/>
        </w:rPr>
      </w:pPr>
      <w:r>
        <w:rPr>
          <w:rFonts w:eastAsia="Calibri" w:cs="Times New Roman"/>
        </w:rPr>
        <w:t xml:space="preserve">Office Hours: M &amp; </w:t>
      </w:r>
      <w:proofErr w:type="spellStart"/>
      <w:r>
        <w:rPr>
          <w:rFonts w:eastAsia="Calibri" w:cs="Times New Roman"/>
        </w:rPr>
        <w:t>Th</w:t>
      </w:r>
      <w:proofErr w:type="spellEnd"/>
      <w:r>
        <w:rPr>
          <w:rFonts w:eastAsia="Calibri" w:cs="Times New Roman"/>
        </w:rPr>
        <w:t>, 11:30-12:30 &amp; Tuesday</w:t>
      </w:r>
      <w:r w:rsidR="00E422C3" w:rsidRPr="00CA57FC">
        <w:rPr>
          <w:rFonts w:eastAsia="Calibri" w:cs="Times New Roman"/>
        </w:rPr>
        <w:t>, 1</w:t>
      </w:r>
      <w:r>
        <w:rPr>
          <w:rFonts w:eastAsia="Calibri" w:cs="Times New Roman"/>
        </w:rPr>
        <w:t>0:00-11:0</w:t>
      </w:r>
      <w:bookmarkStart w:id="0" w:name="_GoBack"/>
      <w:bookmarkEnd w:id="0"/>
      <w:r w:rsidR="00E422C3" w:rsidRPr="00CA57FC">
        <w:rPr>
          <w:rFonts w:eastAsia="Calibri" w:cs="Times New Roman"/>
        </w:rPr>
        <w:t>0 &amp; By Appointment</w:t>
      </w:r>
    </w:p>
    <w:p w:rsidR="00E422C3" w:rsidRPr="00CA57FC" w:rsidRDefault="00B51F40" w:rsidP="00E422C3">
      <w:pPr>
        <w:rPr>
          <w:rFonts w:eastAsia="Calibri" w:cs="Times New Roman"/>
        </w:rPr>
      </w:pPr>
      <w:r w:rsidRPr="00CA57FC">
        <w:rPr>
          <w:rFonts w:eastAsia="Calibri" w:cs="Times New Roman"/>
        </w:rPr>
        <w:t>Office: Bliss 239</w:t>
      </w:r>
    </w:p>
    <w:p w:rsidR="00E422C3" w:rsidRPr="00CA57FC" w:rsidRDefault="00E422C3" w:rsidP="00E422C3">
      <w:pPr>
        <w:rPr>
          <w:rFonts w:eastAsia="Calibri" w:cs="Times New Roman"/>
        </w:rPr>
      </w:pPr>
      <w:r w:rsidRPr="00CA57FC">
        <w:rPr>
          <w:rFonts w:eastAsia="Calibri" w:cs="Times New Roman"/>
        </w:rPr>
        <w:t>Extension: 2380</w:t>
      </w:r>
    </w:p>
    <w:p w:rsidR="00CA57FC" w:rsidRPr="00CA57FC" w:rsidRDefault="00933616" w:rsidP="00CA57FC">
      <w:pPr>
        <w:rPr>
          <w:sz w:val="24"/>
          <w:szCs w:val="24"/>
        </w:rPr>
      </w:pPr>
      <w:r w:rsidRPr="00CA57FC">
        <w:rPr>
          <w:sz w:val="36"/>
          <w:szCs w:val="36"/>
        </w:rPr>
        <w:t>LIT217, Multicultural Literature</w:t>
      </w:r>
      <w:r w:rsidR="008F2556" w:rsidRPr="00CA57FC">
        <w:rPr>
          <w:sz w:val="36"/>
          <w:szCs w:val="36"/>
        </w:rPr>
        <w:t xml:space="preserve"> in Bliss 235</w:t>
      </w:r>
      <w:r w:rsidR="00CA57FC">
        <w:rPr>
          <w:sz w:val="36"/>
          <w:szCs w:val="36"/>
        </w:rPr>
        <w:br/>
      </w:r>
      <w:r w:rsidR="00221AA4">
        <w:rPr>
          <w:bCs/>
        </w:rPr>
        <w:t>LIT217</w:t>
      </w:r>
      <w:r w:rsidR="00CA57FC" w:rsidRPr="00CA57FC">
        <w:rPr>
          <w:bCs/>
        </w:rPr>
        <w:t xml:space="preserve"> will int</w:t>
      </w:r>
      <w:r w:rsidR="00221AA4">
        <w:rPr>
          <w:bCs/>
        </w:rPr>
        <w:t>roduce students to multi-ethnic</w:t>
      </w:r>
      <w:r w:rsidR="00CA57FC" w:rsidRPr="00CA57FC">
        <w:rPr>
          <w:bCs/>
        </w:rPr>
        <w:t xml:space="preserve"> literature through key concepts, issues, and debates.  The term “multicultural,” which itself invites inspection, will be examined during the semester and provide one of several ways to ensure that this course will focus on building critical thinking skills rather than providing a fixed field of study.  Students will be discouraged from thinking of the readings as providing an instant entrance into a reified culture but instead as an opportunity to explore such issues as the social construction of race and ethnicity, the intersections of identities, such as race and sexuality, controversies surrounding canon formation, and the relationship between culture and aesthetics. </w:t>
      </w:r>
    </w:p>
    <w:p w:rsidR="00CA57FC" w:rsidRDefault="00CA57FC" w:rsidP="00DD50C6">
      <w:pPr>
        <w:rPr>
          <w:sz w:val="28"/>
          <w:szCs w:val="28"/>
        </w:rPr>
      </w:pPr>
      <w:r w:rsidRPr="00CA57FC">
        <w:rPr>
          <w:sz w:val="28"/>
          <w:szCs w:val="28"/>
        </w:rPr>
        <w:t>Required Texts:</w:t>
      </w:r>
    </w:p>
    <w:p w:rsidR="00483903" w:rsidRDefault="00A308F0" w:rsidP="00DD50C6">
      <w:pPr>
        <w:rPr>
          <w:i/>
        </w:rPr>
      </w:pPr>
      <w:proofErr w:type="spellStart"/>
      <w:r w:rsidRPr="00CA57FC">
        <w:t>Alexie</w:t>
      </w:r>
      <w:proofErr w:type="spellEnd"/>
      <w:r w:rsidRPr="00CA57FC">
        <w:t xml:space="preserve">, Sherman.  </w:t>
      </w:r>
      <w:proofErr w:type="gramStart"/>
      <w:r w:rsidRPr="00CA57FC">
        <w:rPr>
          <w:i/>
        </w:rPr>
        <w:t>The Toughest Indian in the World</w:t>
      </w:r>
      <w:r w:rsidRPr="00CA57FC">
        <w:rPr>
          <w:i/>
        </w:rPr>
        <w:br/>
      </w:r>
      <w:proofErr w:type="spellStart"/>
      <w:r w:rsidR="00483903" w:rsidRPr="00CA57FC">
        <w:t>Burgett</w:t>
      </w:r>
      <w:proofErr w:type="spellEnd"/>
      <w:r w:rsidR="00483903" w:rsidRPr="00CA57FC">
        <w:t>, Bruce</w:t>
      </w:r>
      <w:r w:rsidR="00483903" w:rsidRPr="00CA57FC">
        <w:rPr>
          <w:i/>
        </w:rPr>
        <w:t>.</w:t>
      </w:r>
      <w:proofErr w:type="gramEnd"/>
      <w:r w:rsidR="00483903" w:rsidRPr="00CA57FC">
        <w:rPr>
          <w:i/>
        </w:rPr>
        <w:t xml:space="preserve">  </w:t>
      </w:r>
      <w:proofErr w:type="gramStart"/>
      <w:r w:rsidR="00483903" w:rsidRPr="00CA57FC">
        <w:rPr>
          <w:i/>
        </w:rPr>
        <w:t>Keywords for American Cultural Studies</w:t>
      </w:r>
      <w:r w:rsidR="00483903" w:rsidRPr="00CA57FC">
        <w:t xml:space="preserve"> </w:t>
      </w:r>
      <w:r w:rsidR="00483903" w:rsidRPr="00CA57FC">
        <w:br/>
      </w:r>
      <w:proofErr w:type="spellStart"/>
      <w:r w:rsidRPr="00CA57FC">
        <w:t>Danticat</w:t>
      </w:r>
      <w:proofErr w:type="spellEnd"/>
      <w:r w:rsidRPr="00CA57FC">
        <w:t xml:space="preserve">, </w:t>
      </w:r>
      <w:proofErr w:type="spellStart"/>
      <w:r w:rsidRPr="00CA57FC">
        <w:t>Edwidge</w:t>
      </w:r>
      <w:proofErr w:type="spellEnd"/>
      <w:r w:rsidRPr="00CA57FC">
        <w:t>.</w:t>
      </w:r>
      <w:proofErr w:type="gramEnd"/>
      <w:r w:rsidRPr="00CA57FC">
        <w:t xml:space="preserve">  </w:t>
      </w:r>
      <w:r w:rsidRPr="00CA57FC">
        <w:rPr>
          <w:i/>
        </w:rPr>
        <w:t>Brother, I’m Dying</w:t>
      </w:r>
      <w:r w:rsidRPr="00CA57FC">
        <w:rPr>
          <w:i/>
        </w:rPr>
        <w:br/>
      </w:r>
      <w:proofErr w:type="spellStart"/>
      <w:r w:rsidR="00483903" w:rsidRPr="00CA57FC">
        <w:t>Hemon</w:t>
      </w:r>
      <w:proofErr w:type="spellEnd"/>
      <w:r w:rsidR="00483903" w:rsidRPr="00CA57FC">
        <w:t xml:space="preserve">, </w:t>
      </w:r>
      <w:proofErr w:type="spellStart"/>
      <w:r w:rsidR="00483903" w:rsidRPr="00CA57FC">
        <w:t>Aleksandar</w:t>
      </w:r>
      <w:proofErr w:type="spellEnd"/>
      <w:r w:rsidR="00483903" w:rsidRPr="00CA57FC">
        <w:t xml:space="preserve">.  </w:t>
      </w:r>
      <w:r w:rsidR="00483903" w:rsidRPr="00CA57FC">
        <w:rPr>
          <w:i/>
        </w:rPr>
        <w:t>The Lazarus Project</w:t>
      </w:r>
      <w:r w:rsidRPr="00CA57FC">
        <w:br/>
      </w:r>
      <w:r w:rsidR="00483903" w:rsidRPr="00CA57FC">
        <w:t xml:space="preserve">Kingston, Maxine Hong.  </w:t>
      </w:r>
      <w:r w:rsidR="00483903" w:rsidRPr="00CA57FC">
        <w:rPr>
          <w:i/>
        </w:rPr>
        <w:t xml:space="preserve">Woman Warrior:  A Girlhood </w:t>
      </w:r>
      <w:proofErr w:type="gramStart"/>
      <w:r w:rsidR="00483903" w:rsidRPr="00CA57FC">
        <w:rPr>
          <w:i/>
        </w:rPr>
        <w:t>Among</w:t>
      </w:r>
      <w:proofErr w:type="gramEnd"/>
      <w:r w:rsidR="00483903" w:rsidRPr="00CA57FC">
        <w:rPr>
          <w:i/>
        </w:rPr>
        <w:t xml:space="preserve"> Ghosts</w:t>
      </w:r>
      <w:r w:rsidR="005A320E" w:rsidRPr="00CA57FC">
        <w:br/>
      </w:r>
      <w:r w:rsidRPr="00CA57FC">
        <w:t xml:space="preserve">Larsen, </w:t>
      </w:r>
      <w:proofErr w:type="spellStart"/>
      <w:r w:rsidRPr="00CA57FC">
        <w:t>Nella</w:t>
      </w:r>
      <w:proofErr w:type="spellEnd"/>
      <w:r w:rsidRPr="00CA57FC">
        <w:t xml:space="preserve">.  </w:t>
      </w:r>
      <w:r w:rsidRPr="00CA57FC">
        <w:rPr>
          <w:i/>
        </w:rPr>
        <w:t xml:space="preserve">Passing </w:t>
      </w:r>
      <w:r w:rsidRPr="00CA57FC">
        <w:t>(Norton Critical Edition</w:t>
      </w:r>
      <w:proofErr w:type="gramStart"/>
      <w:r w:rsidRPr="00CA57FC">
        <w:t>)</w:t>
      </w:r>
      <w:proofErr w:type="gramEnd"/>
      <w:r w:rsidRPr="00CA57FC">
        <w:br/>
        <w:t xml:space="preserve">Morrison, Toni.  </w:t>
      </w:r>
      <w:proofErr w:type="gramStart"/>
      <w:r w:rsidR="00483903" w:rsidRPr="00CA57FC">
        <w:rPr>
          <w:i/>
        </w:rPr>
        <w:t>Sula</w:t>
      </w:r>
      <w:r w:rsidR="00483903" w:rsidRPr="00CA57FC">
        <w:rPr>
          <w:i/>
        </w:rPr>
        <w:br/>
      </w:r>
      <w:proofErr w:type="spellStart"/>
      <w:r w:rsidR="00483903" w:rsidRPr="00CA57FC">
        <w:t>Srikanth</w:t>
      </w:r>
      <w:proofErr w:type="spellEnd"/>
      <w:r w:rsidR="00483903" w:rsidRPr="00CA57FC">
        <w:t>, Reddy.</w:t>
      </w:r>
      <w:proofErr w:type="gramEnd"/>
      <w:r w:rsidR="00483903" w:rsidRPr="00CA57FC">
        <w:t xml:space="preserve">  </w:t>
      </w:r>
      <w:r w:rsidR="00483903" w:rsidRPr="00CA57FC">
        <w:rPr>
          <w:i/>
        </w:rPr>
        <w:t>Voyager</w:t>
      </w:r>
    </w:p>
    <w:p w:rsidR="00CA57FC" w:rsidRPr="00CA57FC" w:rsidRDefault="00CA57FC" w:rsidP="00DD50C6">
      <w:pPr>
        <w:rPr>
          <w:sz w:val="28"/>
          <w:szCs w:val="28"/>
        </w:rPr>
      </w:pPr>
      <w:r w:rsidRPr="00CA57FC">
        <w:rPr>
          <w:sz w:val="28"/>
          <w:szCs w:val="28"/>
        </w:rPr>
        <w:t>Schedule of Classes:</w:t>
      </w:r>
    </w:p>
    <w:p w:rsidR="00483903" w:rsidRPr="00CA57FC" w:rsidRDefault="007E5007" w:rsidP="00483903">
      <w:r w:rsidRPr="00CA57FC">
        <w:t>Jan 19</w:t>
      </w:r>
      <w:r w:rsidR="00002D6B" w:rsidRPr="00CA57FC">
        <w:t>, Week One:  First Class</w:t>
      </w:r>
    </w:p>
    <w:p w:rsidR="0098436F" w:rsidRPr="00CA57FC" w:rsidRDefault="007E5007" w:rsidP="00DD50C6">
      <w:r w:rsidRPr="00CA57FC">
        <w:t xml:space="preserve">Jan 23, Week Two: </w:t>
      </w:r>
      <w:r w:rsidR="00002D6B" w:rsidRPr="00CA57FC">
        <w:rPr>
          <w:i/>
        </w:rPr>
        <w:t xml:space="preserve">Keywords: </w:t>
      </w:r>
      <w:r w:rsidR="00002D6B" w:rsidRPr="00CA57FC">
        <w:t>“America” and “Nation” and “Race”</w:t>
      </w:r>
      <w:r w:rsidRPr="00CA57FC">
        <w:br/>
        <w:t>Jan 26</w:t>
      </w:r>
      <w:r w:rsidR="00724D1A" w:rsidRPr="00CA57FC">
        <w:t>, Week Two: Larse</w:t>
      </w:r>
      <w:r w:rsidR="00483903" w:rsidRPr="00CA57FC">
        <w:t xml:space="preserve">n, </w:t>
      </w:r>
      <w:proofErr w:type="spellStart"/>
      <w:r w:rsidR="00483903" w:rsidRPr="00CA57FC">
        <w:t>Nella</w:t>
      </w:r>
      <w:proofErr w:type="spellEnd"/>
      <w:r w:rsidR="00483903" w:rsidRPr="00CA57FC">
        <w:t xml:space="preserve">.  </w:t>
      </w:r>
      <w:r w:rsidR="00483903" w:rsidRPr="00CA57FC">
        <w:rPr>
          <w:i/>
        </w:rPr>
        <w:t>Passing (Norton Critical Editions)</w:t>
      </w:r>
      <w:r w:rsidR="00320DCF" w:rsidRPr="00CA57FC">
        <w:rPr>
          <w:i/>
        </w:rPr>
        <w:t xml:space="preserve">: </w:t>
      </w:r>
      <w:r w:rsidR="00320DCF" w:rsidRPr="00CA57FC">
        <w:t>Introduction and 1-35</w:t>
      </w:r>
      <w:r w:rsidR="00483903" w:rsidRPr="00CA57FC">
        <w:br/>
      </w:r>
      <w:r w:rsidR="00483903" w:rsidRPr="00CA57FC">
        <w:br/>
      </w:r>
      <w:r w:rsidRPr="00CA57FC">
        <w:t>Jan 30, Week Three:</w:t>
      </w:r>
      <w:r w:rsidR="0028410C" w:rsidRPr="00CA57FC">
        <w:t xml:space="preserve"> </w:t>
      </w:r>
      <w:r w:rsidR="00724D1A" w:rsidRPr="00CA57FC">
        <w:t>Larse</w:t>
      </w:r>
      <w:r w:rsidR="0029194D" w:rsidRPr="00CA57FC">
        <w:t xml:space="preserve">n, </w:t>
      </w:r>
      <w:proofErr w:type="spellStart"/>
      <w:r w:rsidR="0029194D" w:rsidRPr="00CA57FC">
        <w:t>Nella</w:t>
      </w:r>
      <w:proofErr w:type="spellEnd"/>
      <w:r w:rsidR="0029194D" w:rsidRPr="00CA57FC">
        <w:t xml:space="preserve">.  </w:t>
      </w:r>
      <w:r w:rsidR="0029194D" w:rsidRPr="00CA57FC">
        <w:rPr>
          <w:i/>
        </w:rPr>
        <w:t>Passing (Norton Critical Editions)</w:t>
      </w:r>
      <w:r w:rsidR="00320DCF" w:rsidRPr="00CA57FC">
        <w:rPr>
          <w:i/>
        </w:rPr>
        <w:t xml:space="preserve">: </w:t>
      </w:r>
      <w:r w:rsidR="00320DCF" w:rsidRPr="00CA57FC">
        <w:t>pp. 35-82</w:t>
      </w:r>
      <w:r w:rsidRPr="00CA57FC">
        <w:br/>
        <w:t>Feb 02</w:t>
      </w:r>
      <w:r w:rsidR="00483903" w:rsidRPr="00CA57FC">
        <w:t>, Week Three:</w:t>
      </w:r>
      <w:r w:rsidR="0028410C" w:rsidRPr="00CA57FC">
        <w:t xml:space="preserve"> </w:t>
      </w:r>
      <w:r w:rsidR="00320DCF" w:rsidRPr="00CA57FC">
        <w:t xml:space="preserve"> </w:t>
      </w:r>
      <w:r w:rsidR="00393614" w:rsidRPr="00CA57FC">
        <w:rPr>
          <w:i/>
        </w:rPr>
        <w:t xml:space="preserve">Keywords: </w:t>
      </w:r>
      <w:r w:rsidR="00393614" w:rsidRPr="00CA57FC">
        <w:t xml:space="preserve">“Ethnicity” and “Indian”; </w:t>
      </w:r>
      <w:proofErr w:type="spellStart"/>
      <w:r w:rsidR="00393614" w:rsidRPr="00CA57FC">
        <w:t>Alexie</w:t>
      </w:r>
      <w:proofErr w:type="spellEnd"/>
      <w:r w:rsidR="00393614" w:rsidRPr="00CA57FC">
        <w:t xml:space="preserve">, Sherman.  </w:t>
      </w:r>
      <w:r w:rsidR="00393614" w:rsidRPr="00CA57FC">
        <w:rPr>
          <w:i/>
        </w:rPr>
        <w:t xml:space="preserve">The Toughest Indian in the World </w:t>
      </w:r>
      <w:r w:rsidR="00393614" w:rsidRPr="00CA57FC">
        <w:t>(“Assimilation”)</w:t>
      </w:r>
    </w:p>
    <w:p w:rsidR="00320DCF" w:rsidRPr="00CA57FC" w:rsidRDefault="0028410C" w:rsidP="00DD50C6">
      <w:r w:rsidRPr="00CA57FC">
        <w:lastRenderedPageBreak/>
        <w:t>Feb 06</w:t>
      </w:r>
      <w:r w:rsidR="00483903" w:rsidRPr="00CA57FC">
        <w:t>, Week Four:</w:t>
      </w:r>
      <w:r w:rsidRPr="00CA57FC">
        <w:t xml:space="preserve"> </w:t>
      </w:r>
      <w:r w:rsidR="00393614" w:rsidRPr="00CA57FC">
        <w:rPr>
          <w:i/>
        </w:rPr>
        <w:t xml:space="preserve">Keywords: </w:t>
      </w:r>
      <w:r w:rsidR="00393614" w:rsidRPr="00CA57FC">
        <w:t xml:space="preserve">“Sex” and “Queer”; </w:t>
      </w:r>
      <w:proofErr w:type="spellStart"/>
      <w:r w:rsidR="00393614" w:rsidRPr="00CA57FC">
        <w:t>Alexie</w:t>
      </w:r>
      <w:proofErr w:type="spellEnd"/>
      <w:r w:rsidR="00393614" w:rsidRPr="00CA57FC">
        <w:t xml:space="preserve">, Sherman.  </w:t>
      </w:r>
      <w:r w:rsidR="00393614" w:rsidRPr="00CA57FC">
        <w:rPr>
          <w:i/>
        </w:rPr>
        <w:t xml:space="preserve">The Toughest Indian in the World </w:t>
      </w:r>
      <w:r w:rsidR="00393614" w:rsidRPr="00CA57FC">
        <w:t>(“The Toughest Indian in the World” and “South by Southwest”)</w:t>
      </w:r>
    </w:p>
    <w:p w:rsidR="0098436F" w:rsidRPr="00CA57FC" w:rsidRDefault="00320DCF" w:rsidP="00DD50C6">
      <w:r w:rsidRPr="00CA57FC">
        <w:t xml:space="preserve">Feb 09, Week Four:  </w:t>
      </w:r>
      <w:r w:rsidR="00393614" w:rsidRPr="00CA57FC">
        <w:t xml:space="preserve">Week Five: </w:t>
      </w:r>
      <w:r w:rsidR="00393614" w:rsidRPr="00CA57FC">
        <w:rPr>
          <w:i/>
        </w:rPr>
        <w:t xml:space="preserve">Keywords: </w:t>
      </w:r>
      <w:r w:rsidR="00393614" w:rsidRPr="00CA57FC">
        <w:t xml:space="preserve">“West” and “Border”; </w:t>
      </w:r>
      <w:proofErr w:type="spellStart"/>
      <w:r w:rsidR="00393614" w:rsidRPr="00CA57FC">
        <w:t>Alexie</w:t>
      </w:r>
      <w:proofErr w:type="spellEnd"/>
      <w:r w:rsidR="00393614" w:rsidRPr="00CA57FC">
        <w:t xml:space="preserve">, Sherman.  </w:t>
      </w:r>
      <w:r w:rsidR="00393614" w:rsidRPr="00CA57FC">
        <w:rPr>
          <w:i/>
        </w:rPr>
        <w:t xml:space="preserve">The Toughest Indian in the World </w:t>
      </w:r>
      <w:r w:rsidR="00393614" w:rsidRPr="00CA57FC">
        <w:t>(“Dear John Wayne” and “Saint Junior”)</w:t>
      </w:r>
    </w:p>
    <w:p w:rsidR="00C91CB9" w:rsidRPr="00CA57FC" w:rsidRDefault="00320DCF" w:rsidP="00DD50C6">
      <w:r w:rsidRPr="00CA57FC">
        <w:t>Feb 13, Week Five</w:t>
      </w:r>
      <w:r w:rsidR="0028410C" w:rsidRPr="00CA57FC">
        <w:t xml:space="preserve">: </w:t>
      </w:r>
      <w:r w:rsidR="00393614" w:rsidRPr="00CA57FC">
        <w:t>Paper #1</w:t>
      </w:r>
      <w:r w:rsidR="0098436F" w:rsidRPr="00CA57FC">
        <w:br/>
      </w:r>
      <w:r w:rsidRPr="00CA57FC">
        <w:t>Feb 16</w:t>
      </w:r>
      <w:r w:rsidR="00483903" w:rsidRPr="00CA57FC">
        <w:t xml:space="preserve">, </w:t>
      </w:r>
      <w:r w:rsidRPr="00CA57FC">
        <w:t xml:space="preserve">Week Five: </w:t>
      </w:r>
      <w:r w:rsidR="00393614" w:rsidRPr="00CA57FC">
        <w:t xml:space="preserve">Kingston, Maxine Hong.  </w:t>
      </w:r>
      <w:r w:rsidR="00393614" w:rsidRPr="00CA57FC">
        <w:rPr>
          <w:i/>
        </w:rPr>
        <w:t xml:space="preserve">Woman Warrior </w:t>
      </w:r>
      <w:r w:rsidR="00393614" w:rsidRPr="00CA57FC">
        <w:t xml:space="preserve">(“No Name Woman”); </w:t>
      </w:r>
      <w:r w:rsidR="00393614" w:rsidRPr="00CA57FC">
        <w:rPr>
          <w:i/>
        </w:rPr>
        <w:t xml:space="preserve">Keywords: </w:t>
      </w:r>
      <w:r w:rsidR="00393614" w:rsidRPr="00CA57FC">
        <w:t>“Orientalism” and “Gender”</w:t>
      </w:r>
      <w:r w:rsidR="00C91CB9" w:rsidRPr="00CA57FC">
        <w:br/>
      </w:r>
      <w:r w:rsidR="00C91CB9" w:rsidRPr="00CA57FC">
        <w:br/>
        <w:t>Feb 20</w:t>
      </w:r>
      <w:r w:rsidR="00483903" w:rsidRPr="00CA57FC">
        <w:t xml:space="preserve">, </w:t>
      </w:r>
      <w:r w:rsidRPr="00CA57FC">
        <w:t xml:space="preserve">Week Six:  </w:t>
      </w:r>
      <w:r w:rsidR="00393614" w:rsidRPr="00CA57FC">
        <w:t xml:space="preserve">Kingston, Maxine Hong.  </w:t>
      </w:r>
      <w:r w:rsidR="00393614" w:rsidRPr="00CA57FC">
        <w:rPr>
          <w:i/>
        </w:rPr>
        <w:t xml:space="preserve">Woman Warrior </w:t>
      </w:r>
      <w:r w:rsidR="00393614" w:rsidRPr="00CA57FC">
        <w:t xml:space="preserve">(“White Tigers” and “Shaman”); </w:t>
      </w:r>
      <w:r w:rsidR="00393614" w:rsidRPr="00CA57FC">
        <w:rPr>
          <w:i/>
        </w:rPr>
        <w:t xml:space="preserve">Keywords: </w:t>
      </w:r>
      <w:r w:rsidR="00393614" w:rsidRPr="00CA57FC">
        <w:t>“Diaspora”</w:t>
      </w:r>
      <w:r w:rsidR="00393614" w:rsidRPr="00CA57FC">
        <w:br/>
        <w:t xml:space="preserve">Feb 23, Week Six: Kingston, Maxine Hong.  </w:t>
      </w:r>
      <w:r w:rsidR="00393614" w:rsidRPr="00CA57FC">
        <w:rPr>
          <w:i/>
        </w:rPr>
        <w:t xml:space="preserve">Woman Warrior </w:t>
      </w:r>
      <w:r w:rsidR="00393614" w:rsidRPr="00CA57FC">
        <w:t>(“At the Western Palace”)</w:t>
      </w:r>
      <w:proofErr w:type="gramStart"/>
      <w:r w:rsidR="00393614" w:rsidRPr="00CA57FC">
        <w:t>;  Keywords</w:t>
      </w:r>
      <w:proofErr w:type="gramEnd"/>
      <w:r w:rsidR="00393614" w:rsidRPr="00CA57FC">
        <w:t xml:space="preserve"> (“Immigration”)</w:t>
      </w:r>
    </w:p>
    <w:p w:rsidR="00C91CB9" w:rsidRPr="00CA57FC" w:rsidRDefault="00C91CB9" w:rsidP="00DD50C6">
      <w:r w:rsidRPr="00CA57FC">
        <w:t>Feb 27</w:t>
      </w:r>
      <w:r w:rsidR="00393614" w:rsidRPr="00CA57FC">
        <w:t xml:space="preserve">, Week Seven: </w:t>
      </w:r>
      <w:r w:rsidR="00393614" w:rsidRPr="00CA57FC">
        <w:rPr>
          <w:i/>
        </w:rPr>
        <w:t xml:space="preserve">Woman Warrior </w:t>
      </w:r>
      <w:r w:rsidR="00393614" w:rsidRPr="00CA57FC">
        <w:t xml:space="preserve">(“A Song for a Barbarian Reed Pipe”); </w:t>
      </w:r>
      <w:r w:rsidR="00393614" w:rsidRPr="00CA57FC">
        <w:rPr>
          <w:i/>
        </w:rPr>
        <w:t xml:space="preserve">Keywords: </w:t>
      </w:r>
      <w:r w:rsidR="00393614" w:rsidRPr="00CA57FC">
        <w:t xml:space="preserve"> “Culture”</w:t>
      </w:r>
      <w:r w:rsidRPr="00CA57FC">
        <w:rPr>
          <w:i/>
        </w:rPr>
        <w:br/>
      </w:r>
      <w:r w:rsidRPr="00CA57FC">
        <w:t xml:space="preserve">March 01, </w:t>
      </w:r>
      <w:r w:rsidR="009028D7" w:rsidRPr="00CA57FC">
        <w:t>Midterm</w:t>
      </w:r>
    </w:p>
    <w:p w:rsidR="00C91CB9" w:rsidRPr="00CA57FC" w:rsidRDefault="00483903" w:rsidP="00DD50C6">
      <w:r w:rsidRPr="00CA57FC">
        <w:t>March 07, Spring Break</w:t>
      </w:r>
    </w:p>
    <w:p w:rsidR="00C91CB9" w:rsidRPr="00CA57FC" w:rsidRDefault="00C91CB9" w:rsidP="00DD50C6">
      <w:r w:rsidRPr="00CA57FC">
        <w:t>March 12</w:t>
      </w:r>
      <w:r w:rsidR="00483903" w:rsidRPr="00CA57FC">
        <w:t xml:space="preserve">, </w:t>
      </w:r>
      <w:r w:rsidR="00E3668E" w:rsidRPr="00CA57FC">
        <w:t xml:space="preserve">Week Eight:  </w:t>
      </w:r>
      <w:proofErr w:type="spellStart"/>
      <w:r w:rsidR="00475288" w:rsidRPr="00CA57FC">
        <w:t>Danticat</w:t>
      </w:r>
      <w:proofErr w:type="spellEnd"/>
      <w:r w:rsidR="00475288" w:rsidRPr="00CA57FC">
        <w:t xml:space="preserve">, </w:t>
      </w:r>
      <w:proofErr w:type="spellStart"/>
      <w:r w:rsidR="00475288" w:rsidRPr="00CA57FC">
        <w:t>Edwidge</w:t>
      </w:r>
      <w:proofErr w:type="spellEnd"/>
      <w:r w:rsidR="00475288" w:rsidRPr="00CA57FC">
        <w:t xml:space="preserve">.  </w:t>
      </w:r>
      <w:r w:rsidR="00475288" w:rsidRPr="00CA57FC">
        <w:rPr>
          <w:i/>
        </w:rPr>
        <w:t>Brother, I’m Dying</w:t>
      </w:r>
      <w:r w:rsidR="00C9613C" w:rsidRPr="00CA57FC">
        <w:rPr>
          <w:i/>
        </w:rPr>
        <w:t xml:space="preserve"> </w:t>
      </w:r>
      <w:r w:rsidR="00C9613C" w:rsidRPr="00CA57FC">
        <w:t>(3-75</w:t>
      </w:r>
      <w:proofErr w:type="gramStart"/>
      <w:r w:rsidR="00C9613C" w:rsidRPr="00CA57FC">
        <w:t>)</w:t>
      </w:r>
      <w:proofErr w:type="gramEnd"/>
      <w:r w:rsidRPr="00CA57FC">
        <w:br/>
        <w:t xml:space="preserve">March 15, </w:t>
      </w:r>
      <w:r w:rsidR="00E3668E" w:rsidRPr="00CA57FC">
        <w:t xml:space="preserve">Week Eight:  </w:t>
      </w:r>
      <w:proofErr w:type="spellStart"/>
      <w:r w:rsidR="00475288" w:rsidRPr="00CA57FC">
        <w:t>Danticat</w:t>
      </w:r>
      <w:proofErr w:type="spellEnd"/>
      <w:r w:rsidR="00475288" w:rsidRPr="00CA57FC">
        <w:t xml:space="preserve">, </w:t>
      </w:r>
      <w:proofErr w:type="spellStart"/>
      <w:r w:rsidR="00475288" w:rsidRPr="00CA57FC">
        <w:t>Edwidge</w:t>
      </w:r>
      <w:proofErr w:type="spellEnd"/>
      <w:r w:rsidR="00475288" w:rsidRPr="00CA57FC">
        <w:t xml:space="preserve">.  </w:t>
      </w:r>
      <w:r w:rsidR="00475288" w:rsidRPr="00CA57FC">
        <w:rPr>
          <w:i/>
        </w:rPr>
        <w:t>Brother, I’m Dying</w:t>
      </w:r>
      <w:r w:rsidR="00C9613C" w:rsidRPr="00CA57FC">
        <w:t xml:space="preserve"> (76-123)</w:t>
      </w:r>
    </w:p>
    <w:p w:rsidR="00C91CB9" w:rsidRPr="00CA57FC" w:rsidRDefault="00C91CB9" w:rsidP="00DD50C6">
      <w:r w:rsidRPr="00CA57FC">
        <w:t>March 19</w:t>
      </w:r>
      <w:r w:rsidR="00483903" w:rsidRPr="00CA57FC">
        <w:t>, Week Nine:</w:t>
      </w:r>
      <w:r w:rsidR="00475288" w:rsidRPr="00CA57FC">
        <w:t xml:space="preserve"> </w:t>
      </w:r>
      <w:proofErr w:type="spellStart"/>
      <w:r w:rsidR="00475288" w:rsidRPr="00CA57FC">
        <w:t>Danticat</w:t>
      </w:r>
      <w:proofErr w:type="spellEnd"/>
      <w:r w:rsidR="00475288" w:rsidRPr="00CA57FC">
        <w:t xml:space="preserve">, </w:t>
      </w:r>
      <w:proofErr w:type="spellStart"/>
      <w:r w:rsidR="00475288" w:rsidRPr="00CA57FC">
        <w:t>Edwidge</w:t>
      </w:r>
      <w:proofErr w:type="spellEnd"/>
      <w:r w:rsidR="00475288" w:rsidRPr="00CA57FC">
        <w:t xml:space="preserve">.  </w:t>
      </w:r>
      <w:r w:rsidR="00475288" w:rsidRPr="00CA57FC">
        <w:rPr>
          <w:i/>
        </w:rPr>
        <w:t>Brother, I’m Dying</w:t>
      </w:r>
      <w:r w:rsidR="00C9613C" w:rsidRPr="00CA57FC">
        <w:rPr>
          <w:i/>
        </w:rPr>
        <w:t xml:space="preserve"> </w:t>
      </w:r>
      <w:r w:rsidR="00C9613C" w:rsidRPr="00CA57FC">
        <w:t>(127-192</w:t>
      </w:r>
      <w:proofErr w:type="gramStart"/>
      <w:r w:rsidR="00C9613C" w:rsidRPr="00CA57FC">
        <w:t>)</w:t>
      </w:r>
      <w:proofErr w:type="gramEnd"/>
      <w:r w:rsidRPr="00CA57FC">
        <w:br/>
        <w:t>March 22, Week Nine:</w:t>
      </w:r>
      <w:r w:rsidR="00475288" w:rsidRPr="00CA57FC">
        <w:t xml:space="preserve"> </w:t>
      </w:r>
      <w:proofErr w:type="spellStart"/>
      <w:r w:rsidR="00475288" w:rsidRPr="00CA57FC">
        <w:t>Danticat</w:t>
      </w:r>
      <w:proofErr w:type="spellEnd"/>
      <w:r w:rsidR="00475288" w:rsidRPr="00CA57FC">
        <w:t xml:space="preserve">, </w:t>
      </w:r>
      <w:proofErr w:type="spellStart"/>
      <w:r w:rsidR="00475288" w:rsidRPr="00CA57FC">
        <w:t>Edwidge</w:t>
      </w:r>
      <w:proofErr w:type="spellEnd"/>
      <w:r w:rsidR="00475288" w:rsidRPr="00CA57FC">
        <w:t xml:space="preserve">.  </w:t>
      </w:r>
      <w:r w:rsidR="00475288" w:rsidRPr="00CA57FC">
        <w:rPr>
          <w:i/>
        </w:rPr>
        <w:t xml:space="preserve">Brother, I’m </w:t>
      </w:r>
      <w:proofErr w:type="gramStart"/>
      <w:r w:rsidR="00475288" w:rsidRPr="00CA57FC">
        <w:rPr>
          <w:i/>
        </w:rPr>
        <w:t>Dying</w:t>
      </w:r>
      <w:r w:rsidR="00C9613C" w:rsidRPr="00CA57FC">
        <w:rPr>
          <w:i/>
        </w:rPr>
        <w:t xml:space="preserve">  </w:t>
      </w:r>
      <w:r w:rsidR="00C9613C" w:rsidRPr="00CA57FC">
        <w:t>(</w:t>
      </w:r>
      <w:proofErr w:type="gramEnd"/>
      <w:r w:rsidR="00C9613C" w:rsidRPr="00CA57FC">
        <w:t>193-269)</w:t>
      </w:r>
    </w:p>
    <w:p w:rsidR="00C91CB9" w:rsidRPr="00CA57FC" w:rsidRDefault="00C91CB9" w:rsidP="00DD50C6">
      <w:r w:rsidRPr="00CA57FC">
        <w:t>March 26</w:t>
      </w:r>
      <w:r w:rsidR="00483903" w:rsidRPr="00CA57FC">
        <w:t xml:space="preserve">, </w:t>
      </w:r>
      <w:r w:rsidR="00393614" w:rsidRPr="00CA57FC">
        <w:t xml:space="preserve">Week Ten: </w:t>
      </w:r>
      <w:r w:rsidR="00A0098A" w:rsidRPr="00CA57FC">
        <w:t xml:space="preserve">Reddy, </w:t>
      </w:r>
      <w:proofErr w:type="spellStart"/>
      <w:r w:rsidR="00A0098A" w:rsidRPr="00CA57FC">
        <w:t>Srikanth</w:t>
      </w:r>
      <w:proofErr w:type="spellEnd"/>
      <w:r w:rsidR="00393614" w:rsidRPr="00CA57FC">
        <w:t xml:space="preserve">.  </w:t>
      </w:r>
      <w:r w:rsidR="00393614" w:rsidRPr="00CA57FC">
        <w:rPr>
          <w:i/>
        </w:rPr>
        <w:t>Voyager</w:t>
      </w:r>
      <w:r w:rsidR="00955FB5" w:rsidRPr="00CA57FC">
        <w:br/>
      </w:r>
      <w:r w:rsidRPr="00CA57FC">
        <w:t xml:space="preserve">March 29, </w:t>
      </w:r>
      <w:r w:rsidR="00E3668E" w:rsidRPr="00CA57FC">
        <w:t xml:space="preserve">Week Ten: </w:t>
      </w:r>
      <w:r w:rsidR="00A0098A" w:rsidRPr="00CA57FC">
        <w:t xml:space="preserve">Reddy, </w:t>
      </w:r>
      <w:proofErr w:type="spellStart"/>
      <w:r w:rsidR="00A0098A" w:rsidRPr="00CA57FC">
        <w:t>Srikanth</w:t>
      </w:r>
      <w:proofErr w:type="spellEnd"/>
      <w:r w:rsidR="00E562C1" w:rsidRPr="00CA57FC">
        <w:t xml:space="preserve">.  </w:t>
      </w:r>
      <w:r w:rsidR="00E562C1" w:rsidRPr="00CA57FC">
        <w:rPr>
          <w:i/>
        </w:rPr>
        <w:t>Voyager</w:t>
      </w:r>
    </w:p>
    <w:p w:rsidR="00FC1E88" w:rsidRPr="00CA57FC" w:rsidRDefault="00FC1E88" w:rsidP="00DD50C6">
      <w:pPr>
        <w:rPr>
          <w:i/>
        </w:rPr>
      </w:pPr>
      <w:r w:rsidRPr="00CA57FC">
        <w:t>April 02</w:t>
      </w:r>
      <w:r w:rsidR="00483903" w:rsidRPr="00CA57FC">
        <w:t xml:space="preserve">, </w:t>
      </w:r>
      <w:r w:rsidR="009028D7" w:rsidRPr="00CA57FC">
        <w:t>Paper #2</w:t>
      </w:r>
      <w:r w:rsidRPr="00CA57FC">
        <w:br/>
        <w:t xml:space="preserve">April 05, </w:t>
      </w:r>
      <w:r w:rsidR="00E3668E" w:rsidRPr="00CA57FC">
        <w:t xml:space="preserve">Week Eleven:  </w:t>
      </w:r>
      <w:r w:rsidR="009028D7" w:rsidRPr="00CA57FC">
        <w:t xml:space="preserve">Morrison, Toni.  </w:t>
      </w:r>
      <w:r w:rsidR="009028D7" w:rsidRPr="00CA57FC">
        <w:rPr>
          <w:i/>
        </w:rPr>
        <w:t>Sula</w:t>
      </w:r>
      <w:r w:rsidRPr="00CA57FC">
        <w:br/>
      </w:r>
      <w:r w:rsidRPr="00CA57FC">
        <w:br/>
        <w:t>April 09</w:t>
      </w:r>
      <w:r w:rsidR="00483903" w:rsidRPr="00CA57FC">
        <w:t xml:space="preserve">, </w:t>
      </w:r>
      <w:r w:rsidR="00E3668E" w:rsidRPr="00CA57FC">
        <w:t xml:space="preserve">Week Twelve:  </w:t>
      </w:r>
      <w:r w:rsidR="009028D7" w:rsidRPr="00CA57FC">
        <w:t xml:space="preserve">Morrison, Toni.  </w:t>
      </w:r>
      <w:r w:rsidR="009028D7" w:rsidRPr="00CA57FC">
        <w:rPr>
          <w:i/>
        </w:rPr>
        <w:t>Sula</w:t>
      </w:r>
      <w:r w:rsidRPr="00CA57FC">
        <w:br/>
        <w:t xml:space="preserve">April 12, </w:t>
      </w:r>
      <w:r w:rsidR="007A34E5" w:rsidRPr="00CA57FC">
        <w:t>Week Twelve:  TBA</w:t>
      </w:r>
    </w:p>
    <w:p w:rsidR="007A34E5" w:rsidRPr="00CA57FC" w:rsidRDefault="00A64AC2" w:rsidP="00DD50C6">
      <w:r w:rsidRPr="00CA57FC">
        <w:t>April 16</w:t>
      </w:r>
      <w:r w:rsidR="00483903" w:rsidRPr="00CA57FC">
        <w:t xml:space="preserve">, </w:t>
      </w:r>
      <w:r w:rsidR="007A34E5" w:rsidRPr="00CA57FC">
        <w:t xml:space="preserve">Week Fourteen: </w:t>
      </w:r>
      <w:proofErr w:type="spellStart"/>
      <w:r w:rsidR="007A34E5" w:rsidRPr="00CA57FC">
        <w:t>Hemon</w:t>
      </w:r>
      <w:proofErr w:type="spellEnd"/>
      <w:r w:rsidR="007A34E5" w:rsidRPr="00CA57FC">
        <w:t xml:space="preserve">, </w:t>
      </w:r>
      <w:proofErr w:type="spellStart"/>
      <w:r w:rsidR="007A34E5" w:rsidRPr="00CA57FC">
        <w:t>Aleksandar</w:t>
      </w:r>
      <w:proofErr w:type="spellEnd"/>
      <w:r w:rsidR="007A34E5" w:rsidRPr="00CA57FC">
        <w:t xml:space="preserve">. </w:t>
      </w:r>
      <w:r w:rsidR="007A34E5" w:rsidRPr="00CA57FC">
        <w:rPr>
          <w:i/>
        </w:rPr>
        <w:t xml:space="preserve">The Lazarus Project </w:t>
      </w:r>
      <w:r w:rsidR="007A34E5" w:rsidRPr="00CA57FC">
        <w:t>(first third</w:t>
      </w:r>
      <w:proofErr w:type="gramStart"/>
      <w:r w:rsidR="007A34E5" w:rsidRPr="00CA57FC">
        <w:t>)</w:t>
      </w:r>
      <w:proofErr w:type="gramEnd"/>
      <w:r w:rsidR="007A34E5" w:rsidRPr="00CA57FC">
        <w:br/>
      </w:r>
      <w:r w:rsidRPr="00CA57FC">
        <w:t xml:space="preserve">April 19, </w:t>
      </w:r>
      <w:r w:rsidR="007A34E5" w:rsidRPr="00CA57FC">
        <w:t xml:space="preserve">Week Fourteen: </w:t>
      </w:r>
      <w:proofErr w:type="spellStart"/>
      <w:r w:rsidR="007A34E5" w:rsidRPr="00CA57FC">
        <w:t>Hemon</w:t>
      </w:r>
      <w:proofErr w:type="spellEnd"/>
      <w:r w:rsidR="007A34E5" w:rsidRPr="00CA57FC">
        <w:t xml:space="preserve">, </w:t>
      </w:r>
      <w:proofErr w:type="spellStart"/>
      <w:r w:rsidR="007A34E5" w:rsidRPr="00CA57FC">
        <w:t>Aleksandar</w:t>
      </w:r>
      <w:proofErr w:type="spellEnd"/>
      <w:r w:rsidR="007A34E5" w:rsidRPr="00CA57FC">
        <w:t xml:space="preserve">. </w:t>
      </w:r>
      <w:r w:rsidR="007A34E5" w:rsidRPr="00CA57FC">
        <w:rPr>
          <w:i/>
        </w:rPr>
        <w:t xml:space="preserve">The Lazarus Project </w:t>
      </w:r>
      <w:r w:rsidR="007A34E5" w:rsidRPr="00CA57FC">
        <w:t>(second third)</w:t>
      </w:r>
    </w:p>
    <w:p w:rsidR="00A64AC2" w:rsidRPr="00CA57FC" w:rsidRDefault="00A64AC2" w:rsidP="00DD50C6">
      <w:r w:rsidRPr="00CA57FC">
        <w:t>April 23</w:t>
      </w:r>
      <w:r w:rsidR="00483903" w:rsidRPr="00CA57FC">
        <w:t xml:space="preserve">, </w:t>
      </w:r>
      <w:r w:rsidR="007A34E5" w:rsidRPr="00CA57FC">
        <w:t xml:space="preserve">Week Fifteen: </w:t>
      </w:r>
      <w:proofErr w:type="spellStart"/>
      <w:r w:rsidR="007A34E5" w:rsidRPr="00CA57FC">
        <w:t>Hemon</w:t>
      </w:r>
      <w:proofErr w:type="spellEnd"/>
      <w:r w:rsidR="007A34E5" w:rsidRPr="00CA57FC">
        <w:t xml:space="preserve">, </w:t>
      </w:r>
      <w:proofErr w:type="spellStart"/>
      <w:r w:rsidR="007A34E5" w:rsidRPr="00CA57FC">
        <w:t>Aleksandar</w:t>
      </w:r>
      <w:proofErr w:type="spellEnd"/>
      <w:r w:rsidR="007A34E5" w:rsidRPr="00CA57FC">
        <w:t xml:space="preserve">. </w:t>
      </w:r>
      <w:r w:rsidR="007A34E5" w:rsidRPr="00CA57FC">
        <w:rPr>
          <w:i/>
        </w:rPr>
        <w:t xml:space="preserve">The Lazarus Project </w:t>
      </w:r>
      <w:r w:rsidR="007A34E5" w:rsidRPr="00CA57FC">
        <w:t>(last third</w:t>
      </w:r>
      <w:proofErr w:type="gramStart"/>
      <w:r w:rsidR="007A34E5" w:rsidRPr="00CA57FC">
        <w:t>)</w:t>
      </w:r>
      <w:proofErr w:type="gramEnd"/>
      <w:r w:rsidR="007A34E5" w:rsidRPr="00CA57FC">
        <w:br/>
        <w:t>April 26, Last Class</w:t>
      </w:r>
    </w:p>
    <w:p w:rsidR="00A308F0" w:rsidRPr="00CA57FC" w:rsidRDefault="00483903" w:rsidP="00DD50C6">
      <w:r w:rsidRPr="00CA57FC">
        <w:t>May 02-May 5, Exam Period</w:t>
      </w:r>
      <w:r w:rsidR="009F1BB1" w:rsidRPr="00CA57FC">
        <w:t xml:space="preserve"> TBA by R &amp; R; Final Essay </w:t>
      </w:r>
      <w:r w:rsidR="0098436F" w:rsidRPr="00CA57FC">
        <w:t xml:space="preserve">#3 </w:t>
      </w:r>
      <w:r w:rsidR="009F1BB1" w:rsidRPr="00CA57FC">
        <w:t>Due at this Time</w:t>
      </w:r>
      <w:r w:rsidR="00896ED1" w:rsidRPr="00CA57FC">
        <w:rPr>
          <w:i/>
        </w:rPr>
        <w:br/>
      </w:r>
    </w:p>
    <w:p w:rsidR="008F4FAD" w:rsidRPr="00CA57FC" w:rsidRDefault="007A34E5" w:rsidP="00DD50C6">
      <w:r w:rsidRPr="00CA57FC">
        <w:rPr>
          <w:sz w:val="28"/>
          <w:szCs w:val="28"/>
        </w:rPr>
        <w:t>Assignments</w:t>
      </w:r>
      <w:proofErr w:type="gramStart"/>
      <w:r w:rsidRPr="00CA57FC">
        <w:rPr>
          <w:sz w:val="28"/>
          <w:szCs w:val="28"/>
        </w:rPr>
        <w:t>:</w:t>
      </w:r>
      <w:proofErr w:type="gramEnd"/>
      <w:r w:rsidRPr="00CA57FC">
        <w:br/>
        <w:t xml:space="preserve">Paper #1: </w:t>
      </w:r>
      <w:r w:rsidR="00724D1A" w:rsidRPr="00CA57FC">
        <w:t xml:space="preserve">  </w:t>
      </w:r>
      <w:r w:rsidR="008F4FAD" w:rsidRPr="00CA57FC">
        <w:t xml:space="preserve">Write an analysis of </w:t>
      </w:r>
      <w:r w:rsidR="008F4FAD" w:rsidRPr="00CA57FC">
        <w:rPr>
          <w:i/>
        </w:rPr>
        <w:t xml:space="preserve">Passing </w:t>
      </w:r>
      <w:r w:rsidR="009F1BB1" w:rsidRPr="00CA57FC">
        <w:t>or one</w:t>
      </w:r>
      <w:r w:rsidR="008F4FAD" w:rsidRPr="00CA57FC">
        <w:t xml:space="preserve"> Sherman </w:t>
      </w:r>
      <w:proofErr w:type="spellStart"/>
      <w:r w:rsidR="008F4FAD" w:rsidRPr="00CA57FC">
        <w:t>Alexie</w:t>
      </w:r>
      <w:proofErr w:type="spellEnd"/>
      <w:r w:rsidR="008F4FAD" w:rsidRPr="00CA57FC">
        <w:t xml:space="preserve"> short story that considers the use of a foil </w:t>
      </w:r>
      <w:r w:rsidR="008F4FAD" w:rsidRPr="00CA57FC">
        <w:lastRenderedPageBreak/>
        <w:t xml:space="preserve">to illuminate, question, and/or explore some aspect of identity.  You should make use of at least one quote (if not also key concepts) from your </w:t>
      </w:r>
      <w:r w:rsidR="008F4FAD" w:rsidRPr="00CA57FC">
        <w:rPr>
          <w:i/>
        </w:rPr>
        <w:t xml:space="preserve">Keywords </w:t>
      </w:r>
      <w:r w:rsidR="008F4FAD" w:rsidRPr="00CA57FC">
        <w:t>text.  (1500-2000 words long)</w:t>
      </w:r>
      <w:r w:rsidR="001F71BF" w:rsidRPr="00CA57FC">
        <w:t>—20% of final grade</w:t>
      </w:r>
    </w:p>
    <w:p w:rsidR="007A34E5" w:rsidRPr="00CA57FC" w:rsidRDefault="008F4FAD" w:rsidP="00DD50C6">
      <w:r w:rsidRPr="00CA57FC">
        <w:t>Paper #2:   Write an</w:t>
      </w:r>
      <w:r w:rsidR="00A0098A" w:rsidRPr="00CA57FC">
        <w:t xml:space="preserve"> analysis of either </w:t>
      </w:r>
      <w:r w:rsidR="00A0098A" w:rsidRPr="00CA57FC">
        <w:rPr>
          <w:i/>
        </w:rPr>
        <w:t xml:space="preserve">Brother, I’m Dying </w:t>
      </w:r>
      <w:r w:rsidR="00A0098A" w:rsidRPr="00CA57FC">
        <w:t xml:space="preserve">or </w:t>
      </w:r>
      <w:r w:rsidR="00A0098A" w:rsidRPr="00CA57FC">
        <w:rPr>
          <w:i/>
        </w:rPr>
        <w:t xml:space="preserve">Voyager </w:t>
      </w:r>
      <w:r w:rsidR="00A0098A" w:rsidRPr="00CA57FC">
        <w:t xml:space="preserve">that considers its </w:t>
      </w:r>
      <w:r w:rsidR="009F1BB1" w:rsidRPr="00CA57FC">
        <w:t>first person narration as a tool</w:t>
      </w:r>
      <w:r w:rsidR="00A0098A" w:rsidRPr="00CA57FC">
        <w:t xml:space="preserve"> to illuminate, question, and/or explore some aspect of identity.  You should make use of at least one quote (if not also key concepts) from your </w:t>
      </w:r>
      <w:r w:rsidR="00A0098A" w:rsidRPr="00CA57FC">
        <w:rPr>
          <w:i/>
        </w:rPr>
        <w:t xml:space="preserve">Keywords </w:t>
      </w:r>
      <w:r w:rsidR="00A0098A" w:rsidRPr="00CA57FC">
        <w:t>text.  (1500-2000 words long)</w:t>
      </w:r>
      <w:r w:rsidR="001F71BF" w:rsidRPr="00CA57FC">
        <w:t>—30% of final grade</w:t>
      </w:r>
    </w:p>
    <w:p w:rsidR="009F1BB1" w:rsidRPr="00CA57FC" w:rsidRDefault="009F1BB1" w:rsidP="00DD50C6">
      <w:r w:rsidRPr="00CA57FC">
        <w:t xml:space="preserve">Paper #3: Write an analysis of </w:t>
      </w:r>
      <w:r w:rsidRPr="00CA57FC">
        <w:rPr>
          <w:i/>
        </w:rPr>
        <w:t xml:space="preserve">Sula </w:t>
      </w:r>
      <w:r w:rsidRPr="00CA57FC">
        <w:t xml:space="preserve">or </w:t>
      </w:r>
      <w:r w:rsidRPr="00CA57FC">
        <w:rPr>
          <w:i/>
        </w:rPr>
        <w:t xml:space="preserve">The Lazarus Project </w:t>
      </w:r>
      <w:r w:rsidRPr="00CA57FC">
        <w:t xml:space="preserve">that considers the structure of the novel as a tool to illuminate, question, and/or explore some aspect of identity.  You should make use of at least one quote (if not also key concepts) from your </w:t>
      </w:r>
      <w:r w:rsidRPr="00CA57FC">
        <w:rPr>
          <w:i/>
        </w:rPr>
        <w:t xml:space="preserve">Keywords </w:t>
      </w:r>
      <w:r w:rsidRPr="00CA57FC">
        <w:t xml:space="preserve">text.  </w:t>
      </w:r>
      <w:r w:rsidR="001F71BF" w:rsidRPr="00CA57FC">
        <w:t>Because this paper is your fina</w:t>
      </w:r>
      <w:r w:rsidR="0098436F" w:rsidRPr="00CA57FC">
        <w:t xml:space="preserve">l paper, it serves to demonstrate </w:t>
      </w:r>
      <w:r w:rsidR="001F71BF" w:rsidRPr="00CA57FC">
        <w:t xml:space="preserve">your integration and comprehension of key terms and concepts explored throughout the semester.  </w:t>
      </w:r>
      <w:r w:rsidRPr="00CA57FC">
        <w:t>(1500-2000 words long)</w:t>
      </w:r>
      <w:r w:rsidR="001F71BF" w:rsidRPr="00CA57FC">
        <w:t>—30% of final grade</w:t>
      </w:r>
    </w:p>
    <w:p w:rsidR="001F71BF" w:rsidRPr="00CA57FC" w:rsidRDefault="001F71BF" w:rsidP="00DD50C6">
      <w:r w:rsidRPr="00CA57FC">
        <w:t>Midterm: The midterm will have some short recognition questions and at least one essay question.  10% of final grade</w:t>
      </w:r>
    </w:p>
    <w:p w:rsidR="001F71BF" w:rsidRPr="00CA57FC" w:rsidRDefault="001F71BF" w:rsidP="00DD50C6">
      <w:r w:rsidRPr="00CA57FC">
        <w:t>Class Participation</w:t>
      </w:r>
      <w:r w:rsidR="0098436F" w:rsidRPr="00CA57FC">
        <w:t xml:space="preserve"> and Pop Quizzes</w:t>
      </w:r>
      <w:r w:rsidRPr="00CA57FC">
        <w:t xml:space="preserve">: </w:t>
      </w:r>
      <w:r w:rsidR="0098436F" w:rsidRPr="00CA57FC">
        <w:t xml:space="preserve">In addition to recognizing your engagement with class discussion, I will also note your responses to pop quizzes.  </w:t>
      </w:r>
      <w:r w:rsidR="000202BF" w:rsidRPr="00CA57FC">
        <w:t xml:space="preserve">If you miss more than two classes, it will impact your grade.  Please document legitimate reasons for missing class and do not rely on me to ask for such documentation.  </w:t>
      </w:r>
      <w:r w:rsidRPr="00CA57FC">
        <w:t>10% of final grade</w:t>
      </w:r>
    </w:p>
    <w:p w:rsidR="000A2A04" w:rsidRPr="00CA57FC" w:rsidRDefault="000A2A04" w:rsidP="00DD50C6">
      <w:r w:rsidRPr="00CA57FC">
        <w:rPr>
          <w:sz w:val="28"/>
          <w:szCs w:val="28"/>
        </w:rPr>
        <w:t>IMPORTANT NOTE ABOUT SUBMITTING AN ESSAY</w:t>
      </w:r>
      <w:proofErr w:type="gramStart"/>
      <w:r w:rsidRPr="00CA57FC">
        <w:rPr>
          <w:sz w:val="28"/>
          <w:szCs w:val="28"/>
        </w:rPr>
        <w:t>:</w:t>
      </w:r>
      <w:proofErr w:type="gramEnd"/>
      <w:r w:rsidRPr="00CA57FC">
        <w:br/>
        <w:t>I will return all papers ungraded if any one of the following serio</w:t>
      </w:r>
      <w:r w:rsidR="0034096C" w:rsidRPr="00CA57FC">
        <w:t>us errors occur</w:t>
      </w:r>
      <w:r w:rsidRPr="00CA57FC">
        <w:t>:</w:t>
      </w:r>
    </w:p>
    <w:p w:rsidR="000A2A04" w:rsidRPr="00CA57FC" w:rsidRDefault="000A2A04" w:rsidP="000A2A04">
      <w:pPr>
        <w:pStyle w:val="ListParagraph"/>
        <w:numPr>
          <w:ilvl w:val="0"/>
          <w:numId w:val="1"/>
        </w:numPr>
      </w:pPr>
      <w:r w:rsidRPr="00CA57FC">
        <w:t>Every paper must have a title.</w:t>
      </w:r>
    </w:p>
    <w:p w:rsidR="000A2A04" w:rsidRPr="00CA57FC" w:rsidRDefault="000A2A04" w:rsidP="000A2A04">
      <w:pPr>
        <w:pStyle w:val="ListParagraph"/>
        <w:numPr>
          <w:ilvl w:val="0"/>
          <w:numId w:val="1"/>
        </w:numPr>
      </w:pPr>
      <w:r w:rsidRPr="00CA57FC">
        <w:t>Every paper must be double spaced.</w:t>
      </w:r>
    </w:p>
    <w:p w:rsidR="000A2A04" w:rsidRPr="00CA57FC" w:rsidRDefault="000A2A04" w:rsidP="000A2A04">
      <w:pPr>
        <w:pStyle w:val="ListParagraph"/>
        <w:numPr>
          <w:ilvl w:val="0"/>
          <w:numId w:val="1"/>
        </w:numPr>
        <w:overflowPunct w:val="0"/>
      </w:pPr>
      <w:r w:rsidRPr="00CA57FC">
        <w:t>Every paper must provide the following information in the upper-left corner:</w:t>
      </w:r>
    </w:p>
    <w:p w:rsidR="000A2A04" w:rsidRPr="00CA57FC" w:rsidRDefault="000A2A04" w:rsidP="000A2A04">
      <w:pPr>
        <w:pStyle w:val="ListParagraph"/>
        <w:overflowPunct w:val="0"/>
      </w:pPr>
      <w:proofErr w:type="spellStart"/>
      <w:r w:rsidRPr="00CA57FC">
        <w:t>Juda</w:t>
      </w:r>
      <w:proofErr w:type="spellEnd"/>
      <w:r w:rsidRPr="00CA57FC">
        <w:t xml:space="preserve"> Bennett, Course Title and Number, Your Name, Date, Word Count.  </w:t>
      </w:r>
    </w:p>
    <w:p w:rsidR="000A2A04" w:rsidRPr="00CA57FC" w:rsidRDefault="000A2A04" w:rsidP="000A2A04">
      <w:pPr>
        <w:pStyle w:val="ListParagraph"/>
        <w:numPr>
          <w:ilvl w:val="0"/>
          <w:numId w:val="1"/>
        </w:numPr>
      </w:pPr>
      <w:r w:rsidRPr="00CA57FC">
        <w:t xml:space="preserve">Every paper must spell the text and author name correctly, and the text should either be in quotation marks (if it is a short work, like a short story) or in italics (if it is a long work, like a novel).  </w:t>
      </w:r>
      <w:r w:rsidR="0034096C" w:rsidRPr="00CA57FC">
        <w:t>Consult MLA guidelines for other examples, such as for plays, movies, and other texts.</w:t>
      </w:r>
    </w:p>
    <w:p w:rsidR="0034096C" w:rsidRPr="00CA57FC" w:rsidRDefault="0034096C" w:rsidP="000A2A04">
      <w:pPr>
        <w:pStyle w:val="ListParagraph"/>
        <w:numPr>
          <w:ilvl w:val="0"/>
          <w:numId w:val="1"/>
        </w:numPr>
      </w:pPr>
      <w:r w:rsidRPr="00CA57FC">
        <w:t>Every paper must quote texts according to the MLA guidelines.   I will accept occasional errors in the first essay, but will return papers that continue to show a disregard for form.</w:t>
      </w:r>
    </w:p>
    <w:p w:rsidR="0034096C" w:rsidRPr="00CA57FC" w:rsidRDefault="0034096C" w:rsidP="000A2A04">
      <w:pPr>
        <w:pStyle w:val="ListParagraph"/>
        <w:numPr>
          <w:ilvl w:val="0"/>
          <w:numId w:val="1"/>
        </w:numPr>
      </w:pPr>
      <w:r w:rsidRPr="00CA57FC">
        <w:t>I must be able to open your SOCS posted document in Word.  If you are unsure about this, you may submit a paper copy as back up.</w:t>
      </w:r>
    </w:p>
    <w:p w:rsidR="0034096C" w:rsidRPr="00CA57FC" w:rsidRDefault="0034096C" w:rsidP="0034096C">
      <w:r w:rsidRPr="00CA57FC">
        <w:t>If I return your paper ungraded because of one of the above errors, I will accept a revision within 48 hours but it will receive a five point reduction on the grade.</w:t>
      </w:r>
    </w:p>
    <w:p w:rsidR="000202BF" w:rsidRPr="00CA57FC" w:rsidRDefault="004C6334" w:rsidP="000202BF">
      <w:r w:rsidRPr="00CA57FC">
        <w:rPr>
          <w:sz w:val="28"/>
          <w:szCs w:val="28"/>
        </w:rPr>
        <w:t>PLAGIARISM</w:t>
      </w:r>
      <w:r w:rsidR="000202BF" w:rsidRPr="00CA57FC">
        <w:rPr>
          <w:sz w:val="28"/>
          <w:szCs w:val="28"/>
        </w:rPr>
        <w:t>:</w:t>
      </w:r>
      <w:r w:rsidR="000202BF" w:rsidRPr="00CA57FC">
        <w:t xml:space="preserve">  </w:t>
      </w:r>
      <w:r w:rsidRPr="00CA57FC">
        <w:br/>
      </w:r>
      <w:r w:rsidR="000202BF" w:rsidRPr="00CA57FC">
        <w:t xml:space="preserve">I expect you to be familiar with TCNJ’s policy on plagiarism and to abide by its standards.    </w:t>
      </w:r>
      <w:hyperlink r:id="rId6" w:history="1">
        <w:r w:rsidR="000202BF" w:rsidRPr="00CA57FC">
          <w:rPr>
            <w:rStyle w:val="Hyperlink"/>
          </w:rPr>
          <w:t>TCNJ’s Academic Integrity Policy</w:t>
        </w:r>
      </w:hyperlink>
      <w:r w:rsidR="000202BF" w:rsidRPr="00CA57FC">
        <w:t xml:space="preserve"> </w:t>
      </w:r>
    </w:p>
    <w:p w:rsidR="00B51F40" w:rsidRPr="00CA57FC" w:rsidRDefault="00B51F40" w:rsidP="00B51F40">
      <w:pPr>
        <w:overflowPunct w:val="0"/>
        <w:rPr>
          <w:sz w:val="28"/>
          <w:szCs w:val="28"/>
        </w:rPr>
      </w:pPr>
      <w:r w:rsidRPr="00CA57FC">
        <w:rPr>
          <w:sz w:val="28"/>
          <w:szCs w:val="28"/>
        </w:rPr>
        <w:lastRenderedPageBreak/>
        <w:t>ESSAY GRADE:</w:t>
      </w:r>
    </w:p>
    <w:p w:rsidR="00B51F40" w:rsidRPr="00CA57FC" w:rsidRDefault="00B51F40" w:rsidP="00B51F40">
      <w:pPr>
        <w:overflowPunct w:val="0"/>
      </w:pPr>
      <w:r w:rsidRPr="00CA57FC">
        <w:t>Papers will receive the following points for:</w:t>
      </w:r>
    </w:p>
    <w:p w:rsidR="00B51F40" w:rsidRPr="00CA57FC" w:rsidRDefault="00B51F40" w:rsidP="00B51F40">
      <w:pPr>
        <w:overflowPunct w:val="0"/>
      </w:pPr>
      <w:r w:rsidRPr="00CA57FC">
        <w:t xml:space="preserve"> a) Technical Form (10 points):  Students should follow the guidelines for “Essay Format” as stated above.  They should also attend to proper form when quoting or providing citations.   </w:t>
      </w:r>
    </w:p>
    <w:p w:rsidR="00B51F40" w:rsidRPr="00CA57FC" w:rsidRDefault="00B51F40" w:rsidP="00B51F40">
      <w:pPr>
        <w:overflowPunct w:val="0"/>
      </w:pPr>
      <w:r w:rsidRPr="00CA57FC">
        <w:t> (b) Writing Style (15 points): The successful paper will use proper grammar and spelling, but will also engage the reader by varying sentence length and structure, attending to diction and word choice, and employing active verbs and rich language.  Redundancies and undeveloped passages are both problems of organization and writing style.</w:t>
      </w:r>
    </w:p>
    <w:p w:rsidR="00B51F40" w:rsidRPr="00CA57FC" w:rsidRDefault="00B51F40" w:rsidP="00B51F40">
      <w:pPr>
        <w:overflowPunct w:val="0"/>
      </w:pPr>
      <w:r w:rsidRPr="00CA57FC">
        <w:t xml:space="preserve"> (c) Organization (15 points): Essays must feel cohesive and planned.  Develop your ideas, and provide guide-posts to that development.  Organization is not simply a question of transitions.  Consider writing an outline.  Consider writing the introduction after you have written the rest of the paper. </w:t>
      </w:r>
    </w:p>
    <w:p w:rsidR="00B51F40" w:rsidRPr="00CA57FC" w:rsidRDefault="00B51F40" w:rsidP="00B51F40">
      <w:pPr>
        <w:overflowPunct w:val="0"/>
      </w:pPr>
      <w:r w:rsidRPr="00CA57FC">
        <w:t xml:space="preserve"> (d) Content (60 points): If there are significant problems with the form, style, or organization of the paper, it may be difficult to fully appreciate the content of the argument.  It is your responsibility to successfully convey your best ideas with clarity.  You may, however, receive all 50 points if your ideas are strong and there is enough clarity to convey those ideas.  It is, however, difficult to receive even a passing grade if you do not have original ideas to convey.   </w:t>
      </w:r>
    </w:p>
    <w:p w:rsidR="00B51F40" w:rsidRPr="00CA57FC" w:rsidRDefault="00B51F40" w:rsidP="00B51F40">
      <w:pPr>
        <w:overflowPunct w:val="0"/>
      </w:pPr>
      <w:r w:rsidRPr="00CA57FC">
        <w:t xml:space="preserve">  A Word of Caution: You may receive zero points in any of the above categories of evaluation if your work does not demonstrate basic care or ability.  You may, for example, write an essay that demonstrates technical skill and care on every page except the last page.  This may result in a grade of zero points for the technical aspect of the paper.  The paper, finally, must be graded as a whole.  This means that there are some mistakes that may overshadow a few strengths.  </w:t>
      </w:r>
    </w:p>
    <w:p w:rsidR="00B51F40" w:rsidRPr="00CA57FC" w:rsidRDefault="00B51F40" w:rsidP="00B51F40">
      <w:pPr>
        <w:pBdr>
          <w:top w:val="single" w:sz="6" w:space="1" w:color="auto"/>
          <w:bottom w:val="single" w:sz="6" w:space="1" w:color="auto"/>
        </w:pBdr>
        <w:overflowPunct w:val="0"/>
      </w:pPr>
      <w:r w:rsidRPr="00CA57FC">
        <w:rPr>
          <w:sz w:val="28"/>
          <w:szCs w:val="28"/>
        </w:rPr>
        <w:t>LATE PAPERS</w:t>
      </w:r>
      <w:r w:rsidRPr="00CA57FC">
        <w:rPr>
          <w:b/>
          <w:sz w:val="28"/>
          <w:szCs w:val="28"/>
        </w:rPr>
        <w:t>:</w:t>
      </w:r>
      <w:r w:rsidRPr="00CA57FC">
        <w:t xml:space="preserve">  </w:t>
      </w:r>
      <w:r w:rsidRPr="00CA57FC">
        <w:br/>
        <w:t>Do I accept them?  Not without giving them a penalty.  The other students have struggled to meet the due date, and they might have written better papers if they were given more time.  5 point reduction for the first 48 hours.  Please speak with me if you hope to submit the paper after a longer delay.</w:t>
      </w:r>
    </w:p>
    <w:p w:rsidR="003C249D" w:rsidRPr="00CA57FC" w:rsidRDefault="003C249D" w:rsidP="00B51F40">
      <w:pPr>
        <w:overflowPunct w:val="0"/>
      </w:pPr>
      <w:r w:rsidRPr="00CA57FC">
        <w:t>Number Grades with Letter Grade Equivalent</w:t>
      </w:r>
    </w:p>
    <w:p w:rsidR="003C249D" w:rsidRPr="00CA57FC" w:rsidRDefault="003C249D" w:rsidP="003C249D">
      <w:pPr>
        <w:pStyle w:val="NormalWeb"/>
        <w:rPr>
          <w:rFonts w:asciiTheme="minorHAnsi" w:hAnsiTheme="minorHAnsi"/>
        </w:rPr>
      </w:pPr>
      <w:r w:rsidRPr="00CA57FC">
        <w:rPr>
          <w:rFonts w:asciiTheme="minorHAnsi" w:hAnsiTheme="minorHAnsi"/>
        </w:rPr>
        <w:t>93, 94, 95, 96= A</w:t>
      </w:r>
    </w:p>
    <w:p w:rsidR="003C249D" w:rsidRPr="00CA57FC" w:rsidRDefault="003C249D" w:rsidP="003C249D">
      <w:pPr>
        <w:pStyle w:val="NormalWeb"/>
        <w:rPr>
          <w:rFonts w:asciiTheme="minorHAnsi" w:hAnsiTheme="minorHAnsi"/>
        </w:rPr>
      </w:pPr>
      <w:r w:rsidRPr="00CA57FC">
        <w:rPr>
          <w:rFonts w:asciiTheme="minorHAnsi" w:hAnsiTheme="minorHAnsi"/>
        </w:rPr>
        <w:t>90, 91, 92= A-</w:t>
      </w:r>
    </w:p>
    <w:p w:rsidR="003C249D" w:rsidRPr="00CA57FC" w:rsidRDefault="003C249D" w:rsidP="003C249D">
      <w:pPr>
        <w:pStyle w:val="NormalWeb"/>
        <w:rPr>
          <w:rFonts w:asciiTheme="minorHAnsi" w:hAnsiTheme="minorHAnsi"/>
        </w:rPr>
      </w:pPr>
      <w:r w:rsidRPr="00CA57FC">
        <w:rPr>
          <w:rFonts w:asciiTheme="minorHAnsi" w:hAnsiTheme="minorHAnsi"/>
        </w:rPr>
        <w:t>87, 88, 89= B+</w:t>
      </w:r>
    </w:p>
    <w:p w:rsidR="003C249D" w:rsidRPr="00CA57FC" w:rsidRDefault="003C249D" w:rsidP="003C249D">
      <w:pPr>
        <w:pStyle w:val="NormalWeb"/>
        <w:rPr>
          <w:rFonts w:asciiTheme="minorHAnsi" w:hAnsiTheme="minorHAnsi"/>
        </w:rPr>
      </w:pPr>
      <w:r w:rsidRPr="00CA57FC">
        <w:rPr>
          <w:rFonts w:asciiTheme="minorHAnsi" w:hAnsiTheme="minorHAnsi"/>
        </w:rPr>
        <w:t>83, 84, 85, 86= B</w:t>
      </w:r>
    </w:p>
    <w:p w:rsidR="003C249D" w:rsidRPr="00CA57FC" w:rsidRDefault="003C249D" w:rsidP="003C249D">
      <w:pPr>
        <w:pStyle w:val="NormalWeb"/>
        <w:rPr>
          <w:rFonts w:asciiTheme="minorHAnsi" w:hAnsiTheme="minorHAnsi"/>
        </w:rPr>
      </w:pPr>
      <w:r w:rsidRPr="00CA57FC">
        <w:rPr>
          <w:rFonts w:asciiTheme="minorHAnsi" w:hAnsiTheme="minorHAnsi"/>
        </w:rPr>
        <w:t>80, 81, 82= B-</w:t>
      </w:r>
    </w:p>
    <w:p w:rsidR="003C249D" w:rsidRPr="00CA57FC" w:rsidRDefault="003C249D" w:rsidP="003C249D">
      <w:pPr>
        <w:pStyle w:val="NormalWeb"/>
        <w:rPr>
          <w:rFonts w:asciiTheme="minorHAnsi" w:hAnsiTheme="minorHAnsi"/>
        </w:rPr>
      </w:pPr>
      <w:r w:rsidRPr="00CA57FC">
        <w:rPr>
          <w:rFonts w:asciiTheme="minorHAnsi" w:hAnsiTheme="minorHAnsi"/>
        </w:rPr>
        <w:lastRenderedPageBreak/>
        <w:t>77, 78, 79= C+</w:t>
      </w:r>
    </w:p>
    <w:p w:rsidR="003C249D" w:rsidRPr="00CA57FC" w:rsidRDefault="003C249D" w:rsidP="003C249D">
      <w:pPr>
        <w:pStyle w:val="NormalWeb"/>
        <w:rPr>
          <w:rFonts w:asciiTheme="minorHAnsi" w:hAnsiTheme="minorHAnsi"/>
        </w:rPr>
      </w:pPr>
      <w:r w:rsidRPr="00CA57FC">
        <w:rPr>
          <w:rFonts w:asciiTheme="minorHAnsi" w:hAnsiTheme="minorHAnsi"/>
        </w:rPr>
        <w:t>73, 74, 75, 76= C</w:t>
      </w:r>
    </w:p>
    <w:p w:rsidR="003C249D" w:rsidRPr="00CA57FC" w:rsidRDefault="003C249D" w:rsidP="003C249D">
      <w:pPr>
        <w:pStyle w:val="NormalWeb"/>
        <w:rPr>
          <w:rFonts w:asciiTheme="minorHAnsi" w:hAnsiTheme="minorHAnsi"/>
        </w:rPr>
      </w:pPr>
      <w:r w:rsidRPr="00CA57FC">
        <w:rPr>
          <w:rFonts w:asciiTheme="minorHAnsi" w:hAnsiTheme="minorHAnsi"/>
        </w:rPr>
        <w:t>70, 71, 72= C-</w:t>
      </w:r>
    </w:p>
    <w:p w:rsidR="003C249D" w:rsidRPr="00CA57FC" w:rsidRDefault="003C249D" w:rsidP="00B51F40">
      <w:pPr>
        <w:overflowPunct w:val="0"/>
      </w:pPr>
    </w:p>
    <w:p w:rsidR="00B51F40" w:rsidRPr="00CA57FC" w:rsidRDefault="00B51F40" w:rsidP="00B51F40">
      <w:pPr>
        <w:pBdr>
          <w:bottom w:val="single" w:sz="6" w:space="1" w:color="auto"/>
        </w:pBdr>
        <w:rPr>
          <w:sz w:val="24"/>
          <w:szCs w:val="24"/>
        </w:rPr>
      </w:pPr>
      <w:r w:rsidRPr="00CA57FC">
        <w:rPr>
          <w:sz w:val="24"/>
          <w:szCs w:val="24"/>
        </w:rPr>
        <w:t>TCNJ Policies</w:t>
      </w:r>
    </w:p>
    <w:p w:rsidR="00B51F40" w:rsidRPr="00CA57FC" w:rsidRDefault="00B51F40" w:rsidP="00B51F40">
      <w:pPr>
        <w:spacing w:after="120"/>
        <w:rPr>
          <w:rFonts w:eastAsia="Times New Roman"/>
          <w:b/>
          <w:i/>
          <w:sz w:val="20"/>
          <w:szCs w:val="20"/>
        </w:rPr>
      </w:pPr>
      <w:r w:rsidRPr="00CA57FC">
        <w:rPr>
          <w:rFonts w:eastAsia="Times New Roman"/>
          <w:b/>
          <w:sz w:val="20"/>
          <w:szCs w:val="20"/>
        </w:rPr>
        <w:t>Attendance</w:t>
      </w:r>
      <w:r w:rsidRPr="00CA57FC">
        <w:rPr>
          <w:rFonts w:eastAsia="Times New Roman"/>
          <w:b/>
          <w:sz w:val="20"/>
          <w:szCs w:val="20"/>
        </w:rPr>
        <w:br/>
      </w:r>
      <w:proofErr w:type="gramStart"/>
      <w:r w:rsidRPr="00CA57FC">
        <w:rPr>
          <w:rStyle w:val="Emphasis"/>
          <w:rFonts w:eastAsia="Times"/>
          <w:i w:val="0"/>
          <w:sz w:val="20"/>
          <w:szCs w:val="20"/>
        </w:rPr>
        <w:t>Every</w:t>
      </w:r>
      <w:proofErr w:type="gramEnd"/>
      <w:r w:rsidRPr="00CA57FC">
        <w:rPr>
          <w:rStyle w:val="Emphasis"/>
          <w:rFonts w:eastAsia="Times"/>
          <w:i w:val="0"/>
          <w:sz w:val="20"/>
          <w:szCs w:val="20"/>
        </w:rPr>
        <w:t xml:space="preserve"> student is expected to participate in each of his/her courses through regular attendance at lecture and laboratory sessions. It is further expected that every student will be present, on time, and prepared to participate when scheduled class sessions begin. At the first class meeting of a semester, instructors are expected to distribute in writing the attendance policies which apply to their courses. While attendance itself is not used as a criterion for academic evaluations, grading is frequently based on participation in class discussion, laboratory work, performance, studio practice, field experience, or other activities which may take place during class sessions. If these areas for evaluation make class attendance essential, the student may be penalized for failure to perform satisfactorily in the required activities. Students who must miss classes due to participation in a field trip, athletic event, or other official college function should arrange with their instructors for such class absences well in advance. The Office of Academic Affairs will verify, upon request, the dates of and participation in such college functions. In every instance, however, the student has the responsibility to initiate arrangements for make-up work.</w:t>
      </w:r>
      <w:r w:rsidRPr="00CA57FC">
        <w:rPr>
          <w:i/>
          <w:sz w:val="20"/>
          <w:szCs w:val="20"/>
        </w:rPr>
        <w:t xml:space="preserve"> </w:t>
      </w:r>
    </w:p>
    <w:p w:rsidR="00B51F40" w:rsidRPr="00CA57FC" w:rsidRDefault="00B51F40" w:rsidP="00B51F40">
      <w:pPr>
        <w:pStyle w:val="NormalWeb"/>
        <w:rPr>
          <w:rStyle w:val="Emphasis"/>
          <w:rFonts w:asciiTheme="minorHAnsi" w:eastAsia="Times" w:hAnsiTheme="minorHAnsi"/>
          <w:i w:val="0"/>
          <w:sz w:val="20"/>
          <w:szCs w:val="20"/>
        </w:rPr>
      </w:pPr>
      <w:r w:rsidRPr="00CA57FC">
        <w:rPr>
          <w:rStyle w:val="Emphasis"/>
          <w:rFonts w:asciiTheme="minorHAnsi" w:eastAsia="Times" w:hAnsiTheme="minorHAnsi"/>
          <w:i w:val="0"/>
          <w:sz w:val="20"/>
          <w:szCs w:val="20"/>
        </w:rPr>
        <w:t>Students are expected to attend class and complete assignments as scheduled, to avoid outside conflicts (if possible), and to enroll only in those classes that they can expect to attend on a regular basis. Absences from class are handled between students and instructors. The instructor may require documentation to substantiate the reason for the absence. The instructor should provide make-up opportunities for student absences caused by illness, injury, death in the family, observance of religious holidays, and similarly compelling personal reasons including physical disabilities. For lengthy absences, make-up opportunities might not be feasible and are at the discretion of the instructor. The Office of Academic Affairs will notify the faculty of the dates of religious holidays on which large numbers of students are likely to be absent and are, therefore, unsuitable for the scheduling of examinations. Students have the responsibility of notifying the instructors in advance of expected absences. In cases of absence for a week or more, students are to notify their instructors immediately. If they are unable to do so they may contact the Office of Records and Registration. The Office of Records and Registration will notify the instructor of the student’s absence. The notification is not an excuse but simply a service provided by the Office of Records and Registration. Notifications cannot be acted upon if received after an absence. In every instance the student has the responsibility to initiate arrangements for make-up work.</w:t>
      </w:r>
    </w:p>
    <w:p w:rsidR="00B51F40" w:rsidRPr="00CA57FC" w:rsidRDefault="00B51F40" w:rsidP="00B51F40">
      <w:pPr>
        <w:spacing w:after="120"/>
        <w:rPr>
          <w:sz w:val="20"/>
          <w:szCs w:val="20"/>
        </w:rPr>
      </w:pPr>
      <w:r w:rsidRPr="00CA57FC">
        <w:rPr>
          <w:rFonts w:eastAsia="Times New Roman"/>
          <w:sz w:val="20"/>
          <w:szCs w:val="20"/>
        </w:rPr>
        <w:t xml:space="preserve">TCNJ’s attendance policy </w:t>
      </w:r>
      <w:r w:rsidRPr="00CA57FC">
        <w:rPr>
          <w:rStyle w:val="Emphasis"/>
          <w:rFonts w:eastAsia="Times"/>
          <w:i w:val="0"/>
          <w:sz w:val="20"/>
          <w:szCs w:val="20"/>
        </w:rPr>
        <w:t xml:space="preserve">is available on the web: </w:t>
      </w:r>
      <w:hyperlink r:id="rId7" w:history="1">
        <w:r w:rsidRPr="00CA57FC">
          <w:rPr>
            <w:rStyle w:val="Hyperlink"/>
            <w:rFonts w:eastAsia="Times New Roman"/>
            <w:sz w:val="20"/>
            <w:szCs w:val="20"/>
          </w:rPr>
          <w:t>http://www.tcnj.edu/~recreg/policies/attendance.html</w:t>
        </w:r>
      </w:hyperlink>
    </w:p>
    <w:p w:rsidR="00B51F40" w:rsidRPr="00CA57FC" w:rsidRDefault="00B51F40" w:rsidP="00B51F40">
      <w:pPr>
        <w:spacing w:after="120"/>
        <w:rPr>
          <w:rStyle w:val="Emphasis"/>
          <w:rFonts w:eastAsia="Times New Roman"/>
          <w:b/>
          <w:i w:val="0"/>
          <w:iCs w:val="0"/>
          <w:sz w:val="20"/>
          <w:szCs w:val="20"/>
        </w:rPr>
      </w:pPr>
      <w:r w:rsidRPr="00CA57FC">
        <w:rPr>
          <w:rFonts w:eastAsia="Times New Roman"/>
          <w:b/>
          <w:sz w:val="20"/>
          <w:szCs w:val="20"/>
        </w:rPr>
        <w:t>Academic Integrity Policy</w:t>
      </w:r>
      <w:r w:rsidRPr="00CA57FC">
        <w:rPr>
          <w:rFonts w:eastAsia="Times New Roman"/>
          <w:b/>
          <w:sz w:val="20"/>
          <w:szCs w:val="20"/>
        </w:rPr>
        <w:br/>
      </w:r>
      <w:r w:rsidRPr="00CA57FC">
        <w:rPr>
          <w:rStyle w:val="Emphasis"/>
          <w:rFonts w:eastAsia="Times"/>
          <w:i w:val="0"/>
          <w:sz w:val="20"/>
          <w:szCs w:val="20"/>
        </w:rPr>
        <w:t xml:space="preserve">Academic dishonesty is any attempt by the student to gain academic advantage through dishonest means, to submit, as his or </w:t>
      </w:r>
      <w:proofErr w:type="gramStart"/>
      <w:r w:rsidRPr="00CA57FC">
        <w:rPr>
          <w:rStyle w:val="Emphasis"/>
          <w:rFonts w:eastAsia="Times"/>
          <w:i w:val="0"/>
          <w:sz w:val="20"/>
          <w:szCs w:val="20"/>
        </w:rPr>
        <w:t>her own</w:t>
      </w:r>
      <w:proofErr w:type="gramEnd"/>
      <w:r w:rsidRPr="00CA57FC">
        <w:rPr>
          <w:rStyle w:val="Emphasis"/>
          <w:rFonts w:eastAsia="Times"/>
          <w:i w:val="0"/>
          <w:sz w:val="20"/>
          <w:szCs w:val="20"/>
        </w:rPr>
        <w:t xml:space="preserve">, work which has not been done by him/her or to give improper aid to another student in the completion of an assignment. Such dishonesty would include, but is not limited to: submitting as his/her own a project, paper, report, test, or speech copied from, partially copied, or paraphrased from the work of another (whether the source is printed, under copyright, or in manuscript form). Credit must be given for words quoted or </w:t>
      </w:r>
      <w:r w:rsidRPr="00CA57FC">
        <w:rPr>
          <w:rStyle w:val="Emphasis"/>
          <w:rFonts w:eastAsia="Times"/>
          <w:i w:val="0"/>
          <w:sz w:val="20"/>
          <w:szCs w:val="20"/>
        </w:rPr>
        <w:lastRenderedPageBreak/>
        <w:t>paraphrased. The rules apply to any academic dishonesty, whether the work is graded or ungraded, group or individual, written or oral.</w:t>
      </w:r>
    </w:p>
    <w:p w:rsidR="00B51F40" w:rsidRPr="00CA57FC" w:rsidRDefault="00B51F40" w:rsidP="00B51F40">
      <w:pPr>
        <w:spacing w:after="120"/>
        <w:rPr>
          <w:sz w:val="20"/>
          <w:szCs w:val="20"/>
        </w:rPr>
      </w:pPr>
      <w:r w:rsidRPr="00CA57FC">
        <w:rPr>
          <w:rFonts w:eastAsia="Times New Roman"/>
          <w:sz w:val="20"/>
          <w:szCs w:val="20"/>
        </w:rPr>
        <w:t xml:space="preserve">TCNJ’s academic integrity policy </w:t>
      </w:r>
      <w:r w:rsidRPr="00CA57FC">
        <w:rPr>
          <w:rStyle w:val="Emphasis"/>
          <w:rFonts w:eastAsia="Times"/>
          <w:i w:val="0"/>
          <w:sz w:val="20"/>
          <w:szCs w:val="20"/>
        </w:rPr>
        <w:t>is available on the web:</w:t>
      </w:r>
      <w:r w:rsidRPr="00CA57FC">
        <w:rPr>
          <w:rFonts w:eastAsia="Times New Roman"/>
          <w:sz w:val="20"/>
          <w:szCs w:val="20"/>
        </w:rPr>
        <w:t xml:space="preserve"> </w:t>
      </w:r>
      <w:hyperlink r:id="rId8" w:history="1">
        <w:r w:rsidRPr="00CA57FC">
          <w:rPr>
            <w:rStyle w:val="Hyperlink"/>
            <w:rFonts w:eastAsia="Times New Roman"/>
            <w:sz w:val="20"/>
            <w:szCs w:val="20"/>
          </w:rPr>
          <w:t>http://www.tcnj.edu/~academic/policy/integrity.html</w:t>
        </w:r>
      </w:hyperlink>
      <w:r w:rsidRPr="00CA57FC">
        <w:rPr>
          <w:rFonts w:eastAsia="Times New Roman"/>
          <w:sz w:val="20"/>
          <w:szCs w:val="20"/>
        </w:rPr>
        <w:t xml:space="preserve">. </w:t>
      </w:r>
    </w:p>
    <w:p w:rsidR="00B51F40" w:rsidRPr="00CA57FC" w:rsidRDefault="00B51F40" w:rsidP="00B51F40">
      <w:pPr>
        <w:pStyle w:val="NormalWeb"/>
        <w:rPr>
          <w:rStyle w:val="Strong"/>
          <w:rFonts w:asciiTheme="minorHAnsi" w:eastAsia="Times" w:hAnsiTheme="minorHAnsi"/>
          <w:bCs w:val="0"/>
          <w:iCs/>
          <w:sz w:val="20"/>
          <w:szCs w:val="20"/>
        </w:rPr>
      </w:pPr>
      <w:r w:rsidRPr="00CA57FC">
        <w:rPr>
          <w:rStyle w:val="Emphasis"/>
          <w:rFonts w:asciiTheme="minorHAnsi" w:eastAsia="Times" w:hAnsiTheme="minorHAnsi"/>
          <w:b/>
          <w:i w:val="0"/>
          <w:sz w:val="20"/>
          <w:szCs w:val="20"/>
        </w:rPr>
        <w:t>Americans with Disabilities Act (ADA) Policy</w:t>
      </w:r>
      <w:r w:rsidRPr="00CA57FC">
        <w:rPr>
          <w:rStyle w:val="Emphasis"/>
          <w:rFonts w:asciiTheme="minorHAnsi" w:eastAsia="Times" w:hAnsiTheme="minorHAnsi"/>
          <w:b/>
          <w:i w:val="0"/>
          <w:sz w:val="20"/>
          <w:szCs w:val="20"/>
        </w:rPr>
        <w:br/>
      </w:r>
      <w:r w:rsidRPr="00CA57FC">
        <w:rPr>
          <w:rStyle w:val="Strong"/>
          <w:rFonts w:asciiTheme="minorHAnsi" w:hAnsiTheme="minorHAnsi"/>
          <w:b w:val="0"/>
          <w:sz w:val="20"/>
          <w:szCs w:val="20"/>
        </w:rPr>
        <w:t>Any student who has a documented disability and is in need of academic accommodations should notify the professor of this course and contact the Office of Differing Abilities Services (609-771-2571). Accommodations are individualized and in accordance with Section 504 of the Rehabilitation Act of 1973 and the Americans with Disabilities Act of 1992.</w:t>
      </w:r>
    </w:p>
    <w:p w:rsidR="00B51F40" w:rsidRPr="00CA57FC" w:rsidRDefault="00B51F40" w:rsidP="00B51F40">
      <w:pPr>
        <w:pStyle w:val="NormalWeb"/>
        <w:rPr>
          <w:rStyle w:val="Emphasis"/>
          <w:rFonts w:asciiTheme="minorHAnsi" w:eastAsia="Times" w:hAnsiTheme="minorHAnsi"/>
          <w:i w:val="0"/>
          <w:sz w:val="20"/>
          <w:szCs w:val="20"/>
        </w:rPr>
      </w:pPr>
      <w:r w:rsidRPr="00CA57FC">
        <w:rPr>
          <w:rStyle w:val="Emphasis"/>
          <w:rFonts w:asciiTheme="minorHAnsi" w:eastAsia="Times" w:hAnsiTheme="minorHAnsi"/>
          <w:i w:val="0"/>
          <w:sz w:val="20"/>
          <w:szCs w:val="20"/>
        </w:rPr>
        <w:t xml:space="preserve">TCNJ’s Americans with Disabilities Act (ADA) policy is available on the web: </w:t>
      </w:r>
      <w:hyperlink r:id="rId9" w:history="1">
        <w:r w:rsidR="000700F0" w:rsidRPr="00CA57FC">
          <w:rPr>
            <w:rStyle w:val="Hyperlink"/>
            <w:rFonts w:asciiTheme="minorHAnsi" w:eastAsia="Times" w:hAnsiTheme="minorHAnsi"/>
            <w:sz w:val="20"/>
            <w:szCs w:val="20"/>
          </w:rPr>
          <w:t>http://differingabilities.pages.tcnj.edu/</w:t>
        </w:r>
      </w:hyperlink>
    </w:p>
    <w:p w:rsidR="00B51F40" w:rsidRPr="00CA57FC" w:rsidRDefault="00B51F40" w:rsidP="00B51F40">
      <w:pPr>
        <w:pBdr>
          <w:bottom w:val="single" w:sz="6" w:space="1" w:color="auto"/>
        </w:pBdr>
        <w:rPr>
          <w:rFonts w:eastAsia="Times New Roman"/>
          <w:b/>
          <w:sz w:val="20"/>
          <w:szCs w:val="20"/>
        </w:rPr>
      </w:pPr>
      <w:r w:rsidRPr="00CA57FC">
        <w:rPr>
          <w:rFonts w:eastAsia="Times New Roman"/>
          <w:b/>
          <w:sz w:val="20"/>
          <w:szCs w:val="20"/>
        </w:rPr>
        <w:t>Final Exam Policy</w:t>
      </w:r>
    </w:p>
    <w:p w:rsidR="00B51F40" w:rsidRPr="00CA57FC" w:rsidRDefault="00B51F40" w:rsidP="00B51F40">
      <w:pPr>
        <w:pBdr>
          <w:bottom w:val="single" w:sz="6" w:space="1" w:color="auto"/>
        </w:pBdr>
        <w:rPr>
          <w:sz w:val="20"/>
          <w:szCs w:val="20"/>
        </w:rPr>
      </w:pPr>
      <w:r w:rsidRPr="00CA57FC">
        <w:rPr>
          <w:rFonts w:eastAsia="Times New Roman"/>
          <w:sz w:val="20"/>
          <w:szCs w:val="20"/>
        </w:rPr>
        <w:t xml:space="preserve">TCNJ’s final examination policy is available on the web: </w:t>
      </w:r>
      <w:hyperlink r:id="rId10" w:history="1">
        <w:r w:rsidRPr="00CA57FC">
          <w:rPr>
            <w:rStyle w:val="Hyperlink"/>
            <w:sz w:val="20"/>
            <w:szCs w:val="20"/>
          </w:rPr>
          <w:t>http://www.tcnj.edu/~academic/policy/finalevaluations.htm</w:t>
        </w:r>
      </w:hyperlink>
    </w:p>
    <w:p w:rsidR="00B51F40" w:rsidRPr="00CA57FC" w:rsidRDefault="00B51F40" w:rsidP="00B51F40">
      <w:pPr>
        <w:pBdr>
          <w:bottom w:val="single" w:sz="6" w:space="1" w:color="auto"/>
        </w:pBdr>
        <w:rPr>
          <w:sz w:val="20"/>
          <w:szCs w:val="20"/>
        </w:rPr>
      </w:pPr>
    </w:p>
    <w:p w:rsidR="00B51F40" w:rsidRPr="00CA57FC" w:rsidRDefault="00B51F40" w:rsidP="00B51F40">
      <w:pPr>
        <w:rPr>
          <w:b/>
          <w:sz w:val="24"/>
          <w:szCs w:val="24"/>
        </w:rPr>
      </w:pPr>
      <w:r w:rsidRPr="00CA57FC">
        <w:rPr>
          <w:b/>
          <w:sz w:val="24"/>
          <w:szCs w:val="24"/>
        </w:rPr>
        <w:t xml:space="preserve">Resources:  </w:t>
      </w:r>
    </w:p>
    <w:p w:rsidR="00B51F40" w:rsidRPr="00CA57FC" w:rsidRDefault="00B51F40" w:rsidP="00B51F40">
      <w:pPr>
        <w:rPr>
          <w:sz w:val="20"/>
          <w:szCs w:val="20"/>
        </w:rPr>
      </w:pPr>
      <w:r w:rsidRPr="00CA57FC">
        <w:rPr>
          <w:sz w:val="20"/>
          <w:szCs w:val="20"/>
        </w:rPr>
        <w:t xml:space="preserve">Tutoring Center: </w:t>
      </w:r>
      <w:hyperlink r:id="rId11" w:history="1">
        <w:r w:rsidRPr="00CA57FC">
          <w:rPr>
            <w:rStyle w:val="Hyperlink"/>
            <w:sz w:val="20"/>
            <w:szCs w:val="20"/>
          </w:rPr>
          <w:t>http://www.tcnj.edu/~tutoring/</w:t>
        </w:r>
      </w:hyperlink>
    </w:p>
    <w:p w:rsidR="00B51F40" w:rsidRPr="00CA57FC" w:rsidRDefault="00B51F40" w:rsidP="00B51F40">
      <w:pPr>
        <w:rPr>
          <w:sz w:val="20"/>
          <w:szCs w:val="20"/>
        </w:rPr>
      </w:pPr>
      <w:r w:rsidRPr="00CA57FC">
        <w:rPr>
          <w:sz w:val="20"/>
          <w:szCs w:val="20"/>
        </w:rPr>
        <w:t xml:space="preserve">Library:  </w:t>
      </w:r>
      <w:hyperlink r:id="rId12" w:history="1">
        <w:r w:rsidRPr="00CA57FC">
          <w:rPr>
            <w:rStyle w:val="Hyperlink"/>
            <w:sz w:val="20"/>
            <w:szCs w:val="20"/>
          </w:rPr>
          <w:t>http://www.tcnj.edu/~library/</w:t>
        </w:r>
      </w:hyperlink>
    </w:p>
    <w:p w:rsidR="00B51F40" w:rsidRPr="00CA57FC" w:rsidRDefault="00B51F40" w:rsidP="00B51F40">
      <w:pPr>
        <w:rPr>
          <w:sz w:val="20"/>
          <w:szCs w:val="20"/>
        </w:rPr>
      </w:pPr>
    </w:p>
    <w:p w:rsidR="00B51F40" w:rsidRPr="00CA57FC" w:rsidRDefault="00B51F40" w:rsidP="00DD50C6"/>
    <w:p w:rsidR="007F24E8" w:rsidRPr="00CA57FC" w:rsidRDefault="007F24E8"/>
    <w:p w:rsidR="007F24E8" w:rsidRPr="00CA57FC" w:rsidRDefault="007F24E8"/>
    <w:p w:rsidR="007610E8" w:rsidRPr="00CA57FC" w:rsidRDefault="007610E8"/>
    <w:sectPr w:rsidR="007610E8" w:rsidRPr="00CA57FC" w:rsidSect="00E56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43E0E"/>
    <w:multiLevelType w:val="hybridMultilevel"/>
    <w:tmpl w:val="FC7CC4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0E8"/>
    <w:rsid w:val="00002D6B"/>
    <w:rsid w:val="000202BF"/>
    <w:rsid w:val="000700F0"/>
    <w:rsid w:val="000A2A04"/>
    <w:rsid w:val="000C106D"/>
    <w:rsid w:val="000D622F"/>
    <w:rsid w:val="001030F7"/>
    <w:rsid w:val="001626DD"/>
    <w:rsid w:val="001644D8"/>
    <w:rsid w:val="00165AAE"/>
    <w:rsid w:val="001B64F8"/>
    <w:rsid w:val="001C572B"/>
    <w:rsid w:val="001F57BC"/>
    <w:rsid w:val="001F71BF"/>
    <w:rsid w:val="00221AA4"/>
    <w:rsid w:val="00223A13"/>
    <w:rsid w:val="002647E0"/>
    <w:rsid w:val="0028410C"/>
    <w:rsid w:val="0029194D"/>
    <w:rsid w:val="00320DCF"/>
    <w:rsid w:val="0034096C"/>
    <w:rsid w:val="00393614"/>
    <w:rsid w:val="003B7DB2"/>
    <w:rsid w:val="003C249D"/>
    <w:rsid w:val="003F3D30"/>
    <w:rsid w:val="00475288"/>
    <w:rsid w:val="00483903"/>
    <w:rsid w:val="004C6334"/>
    <w:rsid w:val="00500D00"/>
    <w:rsid w:val="00507A4A"/>
    <w:rsid w:val="005746EC"/>
    <w:rsid w:val="00575706"/>
    <w:rsid w:val="00586555"/>
    <w:rsid w:val="005A320E"/>
    <w:rsid w:val="0065688A"/>
    <w:rsid w:val="00670A23"/>
    <w:rsid w:val="00676F31"/>
    <w:rsid w:val="006B05E0"/>
    <w:rsid w:val="006C4E46"/>
    <w:rsid w:val="00724D1A"/>
    <w:rsid w:val="007610E8"/>
    <w:rsid w:val="00796EB4"/>
    <w:rsid w:val="007A06EF"/>
    <w:rsid w:val="007A34E5"/>
    <w:rsid w:val="007B5916"/>
    <w:rsid w:val="007C798F"/>
    <w:rsid w:val="007E5007"/>
    <w:rsid w:val="007F24E8"/>
    <w:rsid w:val="008127BB"/>
    <w:rsid w:val="00871038"/>
    <w:rsid w:val="00882E91"/>
    <w:rsid w:val="00896ED1"/>
    <w:rsid w:val="008F2556"/>
    <w:rsid w:val="008F4FAD"/>
    <w:rsid w:val="009028D7"/>
    <w:rsid w:val="00933616"/>
    <w:rsid w:val="00955FB5"/>
    <w:rsid w:val="00963773"/>
    <w:rsid w:val="0098436F"/>
    <w:rsid w:val="009B202E"/>
    <w:rsid w:val="009D1793"/>
    <w:rsid w:val="009F1BB1"/>
    <w:rsid w:val="009F48DD"/>
    <w:rsid w:val="009F6DF0"/>
    <w:rsid w:val="00A0098A"/>
    <w:rsid w:val="00A06A21"/>
    <w:rsid w:val="00A308F0"/>
    <w:rsid w:val="00A46477"/>
    <w:rsid w:val="00A64AC2"/>
    <w:rsid w:val="00A77DA8"/>
    <w:rsid w:val="00A80806"/>
    <w:rsid w:val="00AC00F6"/>
    <w:rsid w:val="00AF3BB2"/>
    <w:rsid w:val="00B5044D"/>
    <w:rsid w:val="00B51F40"/>
    <w:rsid w:val="00B9157A"/>
    <w:rsid w:val="00BF26A5"/>
    <w:rsid w:val="00C62D4C"/>
    <w:rsid w:val="00C91CB9"/>
    <w:rsid w:val="00C9613C"/>
    <w:rsid w:val="00CA57FC"/>
    <w:rsid w:val="00CD43B5"/>
    <w:rsid w:val="00D22737"/>
    <w:rsid w:val="00D3398B"/>
    <w:rsid w:val="00D35EED"/>
    <w:rsid w:val="00D37749"/>
    <w:rsid w:val="00D64CDB"/>
    <w:rsid w:val="00D66EDA"/>
    <w:rsid w:val="00DD4EE6"/>
    <w:rsid w:val="00DD50C6"/>
    <w:rsid w:val="00E31FC3"/>
    <w:rsid w:val="00E326E8"/>
    <w:rsid w:val="00E3668E"/>
    <w:rsid w:val="00E422C3"/>
    <w:rsid w:val="00E562C1"/>
    <w:rsid w:val="00E56BB1"/>
    <w:rsid w:val="00E6204B"/>
    <w:rsid w:val="00ED4161"/>
    <w:rsid w:val="00EE25E6"/>
    <w:rsid w:val="00EF6375"/>
    <w:rsid w:val="00F42592"/>
    <w:rsid w:val="00FC1E88"/>
    <w:rsid w:val="00FF6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10E8"/>
    <w:rPr>
      <w:color w:val="0000FF"/>
      <w:u w:val="single"/>
    </w:rPr>
  </w:style>
  <w:style w:type="character" w:customStyle="1" w:styleId="shvl-byline">
    <w:name w:val="shvl-byline"/>
    <w:basedOn w:val="DefaultParagraphFont"/>
    <w:rsid w:val="007610E8"/>
  </w:style>
  <w:style w:type="paragraph" w:styleId="NormalWeb">
    <w:name w:val="Normal (Web)"/>
    <w:basedOn w:val="Normal"/>
    <w:uiPriority w:val="99"/>
    <w:unhideWhenUsed/>
    <w:rsid w:val="00B51F4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51F40"/>
    <w:rPr>
      <w:i/>
      <w:iCs/>
    </w:rPr>
  </w:style>
  <w:style w:type="character" w:styleId="Strong">
    <w:name w:val="Strong"/>
    <w:basedOn w:val="DefaultParagraphFont"/>
    <w:uiPriority w:val="22"/>
    <w:qFormat/>
    <w:rsid w:val="00B51F40"/>
    <w:rPr>
      <w:b/>
      <w:bCs/>
    </w:rPr>
  </w:style>
  <w:style w:type="paragraph" w:styleId="ListParagraph">
    <w:name w:val="List Paragraph"/>
    <w:basedOn w:val="Normal"/>
    <w:uiPriority w:val="34"/>
    <w:qFormat/>
    <w:rsid w:val="000A2A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10E8"/>
    <w:rPr>
      <w:color w:val="0000FF"/>
      <w:u w:val="single"/>
    </w:rPr>
  </w:style>
  <w:style w:type="character" w:customStyle="1" w:styleId="shvl-byline">
    <w:name w:val="shvl-byline"/>
    <w:basedOn w:val="DefaultParagraphFont"/>
    <w:rsid w:val="007610E8"/>
  </w:style>
  <w:style w:type="paragraph" w:styleId="NormalWeb">
    <w:name w:val="Normal (Web)"/>
    <w:basedOn w:val="Normal"/>
    <w:uiPriority w:val="99"/>
    <w:unhideWhenUsed/>
    <w:rsid w:val="00B51F4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51F40"/>
    <w:rPr>
      <w:i/>
      <w:iCs/>
    </w:rPr>
  </w:style>
  <w:style w:type="character" w:styleId="Strong">
    <w:name w:val="Strong"/>
    <w:basedOn w:val="DefaultParagraphFont"/>
    <w:uiPriority w:val="22"/>
    <w:qFormat/>
    <w:rsid w:val="00B51F40"/>
    <w:rPr>
      <w:b/>
      <w:bCs/>
    </w:rPr>
  </w:style>
  <w:style w:type="paragraph" w:styleId="ListParagraph">
    <w:name w:val="List Paragraph"/>
    <w:basedOn w:val="Normal"/>
    <w:uiPriority w:val="34"/>
    <w:qFormat/>
    <w:rsid w:val="000A2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2319">
      <w:bodyDiv w:val="1"/>
      <w:marLeft w:val="0"/>
      <w:marRight w:val="0"/>
      <w:marTop w:val="0"/>
      <w:marBottom w:val="0"/>
      <w:divBdr>
        <w:top w:val="none" w:sz="0" w:space="0" w:color="auto"/>
        <w:left w:val="none" w:sz="0" w:space="0" w:color="auto"/>
        <w:bottom w:val="none" w:sz="0" w:space="0" w:color="auto"/>
        <w:right w:val="none" w:sz="0" w:space="0" w:color="auto"/>
      </w:divBdr>
    </w:div>
    <w:div w:id="1717856815">
      <w:bodyDiv w:val="1"/>
      <w:marLeft w:val="0"/>
      <w:marRight w:val="0"/>
      <w:marTop w:val="0"/>
      <w:marBottom w:val="0"/>
      <w:divBdr>
        <w:top w:val="none" w:sz="0" w:space="0" w:color="auto"/>
        <w:left w:val="none" w:sz="0" w:space="0" w:color="auto"/>
        <w:bottom w:val="none" w:sz="0" w:space="0" w:color="auto"/>
        <w:right w:val="none" w:sz="0" w:space="0" w:color="auto"/>
      </w:divBdr>
    </w:div>
    <w:div w:id="177609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nj.edu/~academic/policy/integrity.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cnj.edu/~recreg/policies/attendance.html" TargetMode="External"/><Relationship Id="rId12" Type="http://schemas.openxmlformats.org/officeDocument/2006/relationships/hyperlink" Target="http://www.tcnj.edu/~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cnj.edu/~academic/policy/integrity.html" TargetMode="External"/><Relationship Id="rId11" Type="http://schemas.openxmlformats.org/officeDocument/2006/relationships/hyperlink" Target="http://www.tcnj.edu/~tutoring/" TargetMode="External"/><Relationship Id="rId5" Type="http://schemas.openxmlformats.org/officeDocument/2006/relationships/webSettings" Target="webSettings.xml"/><Relationship Id="rId10" Type="http://schemas.openxmlformats.org/officeDocument/2006/relationships/hyperlink" Target="http://www.tcnj.edu/%7Eacademic/policy/finalevaluations.htm" TargetMode="External"/><Relationship Id="rId4" Type="http://schemas.openxmlformats.org/officeDocument/2006/relationships/settings" Target="settings.xml"/><Relationship Id="rId9" Type="http://schemas.openxmlformats.org/officeDocument/2006/relationships/hyperlink" Target="http://differingabilities.pages.tcnj.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Juda</dc:creator>
  <cp:lastModifiedBy>The College of New Jersey</cp:lastModifiedBy>
  <cp:revision>2</cp:revision>
  <dcterms:created xsi:type="dcterms:W3CDTF">2012-01-19T16:32:00Z</dcterms:created>
  <dcterms:modified xsi:type="dcterms:W3CDTF">2012-01-19T16:32:00Z</dcterms:modified>
</cp:coreProperties>
</file>